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tbl>
      <w:tblPr>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544"/>
        <w:gridCol w:w="5812"/>
        <w:gridCol w:w="2976"/>
        <w:gridCol w:w="5416"/>
        <w:gridCol w:w="1417"/>
      </w:tblGrid>
      <w:tr w:rsidTr="00534482">
        <w:tblPrEx>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blHeader/>
        </w:trPr>
        <w:tc>
          <w:tcPr>
            <w:tcW w:w="2127" w:type="dxa"/>
            <w:tcBorders>
              <w:bottom w:val="single" w:sz="4" w:space="0" w:color="auto"/>
            </w:tcBorders>
            <w:shd w:val="clear" w:color="auto" w:fill="D9D9D9" w:themeFill="background1" w:themeFillShade="D9"/>
            <w:noWrap/>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area</w:t>
            </w:r>
          </w:p>
        </w:tc>
        <w:tc>
          <w:tcPr>
            <w:tcW w:w="3544"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Operational area of activity</w:t>
            </w:r>
          </w:p>
        </w:tc>
        <w:tc>
          <w:tcPr>
            <w:tcW w:w="5812" w:type="dxa"/>
            <w:tcBorders>
              <w:bottom w:val="single" w:sz="4" w:space="0" w:color="auto"/>
            </w:tcBorders>
            <w:shd w:val="clear" w:color="auto" w:fill="D9D9D9" w:themeFill="background1" w:themeFillShade="D9"/>
            <w:noWrap/>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2976"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Planning principle</w:t>
            </w:r>
          </w:p>
        </w:tc>
        <w:tc>
          <w:tcPr>
            <w:tcW w:w="5416"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Progress/ findings</w:t>
            </w:r>
          </w:p>
        </w:tc>
        <w:tc>
          <w:tcPr>
            <w:tcW w:w="1417" w:type="dxa"/>
            <w:tcBorders>
              <w:bottom w:val="single" w:sz="4" w:space="0" w:color="auto"/>
            </w:tcBorders>
            <w:shd w:val="clear" w:color="auto" w:fill="D9D9D9" w:themeFill="background1" w:themeFillShade="D9"/>
          </w:tcPr>
          <w:p w:rsidR="00534482" w:rsidP="00534482">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Tr="00534482">
        <w:tblPrEx>
          <w:tblW w:w="21292" w:type="dxa"/>
          <w:tblInd w:w="-176" w:type="dxa"/>
          <w:tblLayout w:type="fixed"/>
          <w:tblLook w:val="04A0"/>
        </w:tblPrEx>
        <w:trPr>
          <w:trHeight w:val="315"/>
        </w:trPr>
        <w:tc>
          <w:tcPr>
            <w:tcW w:w="5671" w:type="dxa"/>
            <w:gridSpan w:val="2"/>
            <w:tcBorders>
              <w:bottom w:val="single" w:sz="4" w:space="0" w:color="auto"/>
              <w:right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b/>
                <w:bCs/>
                <w:color w:val="000000"/>
                <w:lang w:eastAsia="en-GB"/>
              </w:rPr>
              <w:t>Governance and democratic oversight</w:t>
            </w:r>
          </w:p>
        </w:tc>
        <w:tc>
          <w:tcPr>
            <w:tcW w:w="5812" w:type="dxa"/>
            <w:tcBorders>
              <w:left w:val="nil"/>
              <w:bottom w:val="single" w:sz="4" w:space="0" w:color="auto"/>
              <w:right w:val="nil"/>
            </w:tcBorders>
            <w:shd w:val="clear" w:color="auto" w:fill="auto"/>
          </w:tcPr>
          <w:p w:rsidR="00534482" w:rsidRPr="00534482" w:rsidP="00534482">
            <w:pPr>
              <w:spacing w:before="60" w:after="60" w:line="240" w:lineRule="auto"/>
              <w:rPr>
                <w:rFonts w:ascii="Arial" w:eastAsia="Times New Roman" w:hAnsi="Arial" w:cs="Arial"/>
                <w:color w:val="000000"/>
                <w:lang w:eastAsia="en-GB"/>
              </w:rPr>
            </w:pPr>
          </w:p>
        </w:tc>
        <w:tc>
          <w:tcPr>
            <w:tcW w:w="2976" w:type="dxa"/>
            <w:tcBorders>
              <w:left w:val="nil"/>
              <w:bottom w:val="single" w:sz="4" w:space="0" w:color="auto"/>
              <w:right w:val="nil"/>
            </w:tcBorders>
            <w:shd w:val="clear" w:color="auto" w:fill="auto"/>
          </w:tcPr>
          <w:p w:rsidR="00534482" w:rsidRPr="00534482" w:rsidP="00534482">
            <w:pPr>
              <w:spacing w:before="60" w:after="60" w:line="240" w:lineRule="auto"/>
              <w:rPr>
                <w:rFonts w:ascii="Arial" w:eastAsia="Times New Roman" w:hAnsi="Arial" w:cs="Arial"/>
                <w:color w:val="000000"/>
                <w:lang w:eastAsia="en-GB"/>
              </w:rPr>
            </w:pPr>
          </w:p>
        </w:tc>
        <w:tc>
          <w:tcPr>
            <w:tcW w:w="5416" w:type="dxa"/>
            <w:tcBorders>
              <w:left w:val="nil"/>
              <w:bottom w:val="single" w:sz="4" w:space="0" w:color="auto"/>
              <w:right w:val="nil"/>
            </w:tcBorders>
          </w:tcPr>
          <w:p w:rsidR="00534482" w:rsidRPr="00534482" w:rsidP="00534482">
            <w:pPr>
              <w:spacing w:before="60" w:after="60" w:line="240" w:lineRule="auto"/>
              <w:rPr>
                <w:rFonts w:ascii="Arial" w:eastAsia="Times New Roman" w:hAnsi="Arial" w:cs="Arial"/>
                <w:color w:val="000000"/>
                <w:lang w:eastAsia="en-GB"/>
              </w:rPr>
            </w:pPr>
          </w:p>
        </w:tc>
        <w:tc>
          <w:tcPr>
            <w:tcW w:w="1417" w:type="dxa"/>
            <w:tcBorders>
              <w:left w:val="nil"/>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Corporate governance framework</w:t>
            </w:r>
          </w:p>
        </w:tc>
        <w:tc>
          <w:tcPr>
            <w:tcW w:w="3544" w:type="dxa"/>
          </w:tcPr>
          <w:p w:rsid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Documentation of the council's governance arrangements</w:t>
            </w:r>
          </w:p>
          <w:p w:rsidR="00307082" w:rsidRPr="00534482" w:rsidP="00534482">
            <w:pPr>
              <w:spacing w:before="60" w:after="60" w:line="240" w:lineRule="auto"/>
              <w:rPr>
                <w:rFonts w:ascii="Arial" w:eastAsia="Times New Roman" w:hAnsi="Arial" w:cs="Arial"/>
                <w:color w:val="000000"/>
                <w:lang w:eastAsia="en-GB"/>
              </w:rPr>
            </w:pP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Review of the ownership, </w:t>
            </w:r>
            <w:r w:rsidRPr="00534482">
              <w:rPr>
                <w:rFonts w:ascii="Arial" w:eastAsia="Times New Roman" w:hAnsi="Arial" w:cs="Arial"/>
                <w:color w:val="000000"/>
                <w:lang w:eastAsia="en-GB"/>
              </w:rPr>
              <w:t>completeness and currency of documentation the council is required to hold, publicise and periodically review setting out its governance arrangements.</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Pr>
          <w:p w:rsidR="00534482" w:rsidRPr="00F66AA9" w:rsidP="002C783A">
            <w:pPr>
              <w:spacing w:before="60" w:after="60" w:line="240" w:lineRule="auto"/>
              <w:rPr>
                <w:rFonts w:ascii="Arial" w:eastAsia="Times New Roman" w:hAnsi="Arial" w:cs="Arial"/>
                <w:lang w:eastAsia="en-GB"/>
              </w:rPr>
            </w:pPr>
            <w:r>
              <w:rPr>
                <w:rFonts w:ascii="Arial" w:eastAsia="Times New Roman" w:hAnsi="Arial" w:cs="Arial"/>
                <w:lang w:eastAsia="en-GB"/>
              </w:rPr>
              <w:t>Work to scope t</w:t>
            </w:r>
            <w:r w:rsidRPr="00FA75D0">
              <w:rPr>
                <w:rFonts w:ascii="Arial" w:eastAsia="Times New Roman" w:hAnsi="Arial" w:cs="Arial"/>
                <w:lang w:eastAsia="en-GB"/>
              </w:rPr>
              <w:t xml:space="preserve">his </w:t>
            </w:r>
            <w:r>
              <w:rPr>
                <w:rFonts w:ascii="Arial" w:eastAsia="Times New Roman" w:hAnsi="Arial" w:cs="Arial"/>
                <w:lang w:eastAsia="en-GB"/>
              </w:rPr>
              <w:t xml:space="preserve">audit </w:t>
            </w:r>
            <w:r>
              <w:rPr>
                <w:rFonts w:ascii="Arial" w:eastAsia="Times New Roman" w:hAnsi="Arial" w:cs="Arial"/>
                <w:lang w:eastAsia="en-GB"/>
              </w:rPr>
              <w:t xml:space="preserve">work </w:t>
            </w:r>
            <w:r>
              <w:rPr>
                <w:rFonts w:ascii="Arial" w:eastAsia="Times New Roman" w:hAnsi="Arial" w:cs="Arial"/>
                <w:lang w:eastAsia="en-GB"/>
              </w:rPr>
              <w:t xml:space="preserve">has recently begun, and will be supplemented by </w:t>
            </w:r>
            <w:r>
              <w:rPr>
                <w:rFonts w:ascii="Arial" w:eastAsia="Times New Roman" w:hAnsi="Arial" w:cs="Arial"/>
                <w:lang w:eastAsia="en-GB"/>
              </w:rPr>
              <w:t>additional work to assess the operation of the revised scheme of delegation to officers.</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FA75D0"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FA75D0" w:rsidRPr="00534482" w:rsidP="00FA75D0">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Operation of the scheme of delegation to officers</w:t>
            </w:r>
          </w:p>
        </w:tc>
        <w:tc>
          <w:tcPr>
            <w:tcW w:w="5812" w:type="dxa"/>
            <w:tcBorders>
              <w:bottom w:val="single" w:sz="4" w:space="0" w:color="auto"/>
            </w:tcBorders>
            <w:shd w:val="clear" w:color="auto" w:fill="auto"/>
            <w:noWrap/>
          </w:tcPr>
          <w:p w:rsidR="00FA75D0" w:rsidRPr="00534482" w:rsidP="00FA75D0">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Review of the introduction of the revised scheme of delegation and its operation in practice.</w:t>
            </w:r>
          </w:p>
        </w:tc>
        <w:tc>
          <w:tcPr>
            <w:tcW w:w="2976" w:type="dxa"/>
            <w:tcBorders>
              <w:bottom w:val="single" w:sz="4" w:space="0" w:color="auto"/>
            </w:tcBorders>
          </w:tcPr>
          <w:p w:rsidR="00FA75D0" w:rsidRPr="00534482" w:rsidP="0004516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Coverage of </w:t>
            </w:r>
            <w:r>
              <w:rPr>
                <w:rFonts w:ascii="Arial" w:eastAsia="Times New Roman" w:hAnsi="Arial" w:cs="Arial"/>
                <w:color w:val="000000"/>
                <w:lang w:eastAsia="en-GB"/>
              </w:rPr>
              <w:t>control</w:t>
            </w:r>
            <w:r w:rsidRPr="00534482">
              <w:rPr>
                <w:rFonts w:ascii="Arial" w:eastAsia="Times New Roman" w:hAnsi="Arial" w:cs="Arial"/>
                <w:color w:val="000000"/>
                <w:lang w:eastAsia="en-GB"/>
              </w:rPr>
              <w:t xml:space="preserve"> across the organisation</w:t>
            </w:r>
          </w:p>
        </w:tc>
        <w:tc>
          <w:tcPr>
            <w:tcW w:w="5416" w:type="dxa"/>
            <w:tcBorders>
              <w:bottom w:val="single" w:sz="4" w:space="0" w:color="auto"/>
            </w:tcBorders>
          </w:tcPr>
          <w:p w:rsidR="00FA75D0" w:rsidRPr="00534482" w:rsidP="00F66AA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This </w:t>
            </w:r>
            <w:r>
              <w:rPr>
                <w:rFonts w:ascii="Arial" w:eastAsia="Times New Roman" w:hAnsi="Arial" w:cs="Arial"/>
                <w:color w:val="000000"/>
                <w:lang w:eastAsia="en-GB"/>
              </w:rPr>
              <w:t xml:space="preserve">audit has been added to the plan following further discussion with senior management and </w:t>
            </w:r>
            <w:r>
              <w:rPr>
                <w:rFonts w:ascii="Arial" w:eastAsia="Times New Roman" w:hAnsi="Arial" w:cs="Arial"/>
                <w:color w:val="000000"/>
                <w:lang w:eastAsia="en-GB"/>
              </w:rPr>
              <w:t>will be undertaken in conjunction with the audit of the council's governance arrangements</w:t>
            </w:r>
            <w:r>
              <w:rPr>
                <w:rFonts w:ascii="Arial" w:eastAsia="Times New Roman" w:hAnsi="Arial" w:cs="Arial"/>
                <w:color w:val="000000"/>
                <w:lang w:eastAsia="en-GB"/>
              </w:rPr>
              <w:t xml:space="preserve"> as a whole</w:t>
            </w:r>
            <w:r>
              <w:rPr>
                <w:rFonts w:ascii="Arial" w:eastAsia="Times New Roman" w:hAnsi="Arial" w:cs="Arial"/>
                <w:color w:val="000000"/>
                <w:lang w:eastAsia="en-GB"/>
              </w:rPr>
              <w:t>.</w:t>
            </w:r>
          </w:p>
        </w:tc>
        <w:tc>
          <w:tcPr>
            <w:tcW w:w="1417" w:type="dxa"/>
            <w:tcBorders>
              <w:bottom w:val="single" w:sz="4" w:space="0" w:color="auto"/>
            </w:tcBorders>
          </w:tcPr>
          <w:p w:rsidR="00FA75D0"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Effective oversight of corporate</w:t>
            </w:r>
            <w:r w:rsidRPr="00534482">
              <w:rPr>
                <w:rFonts w:ascii="Arial" w:eastAsia="Times New Roman" w:hAnsi="Arial" w:cs="Arial"/>
                <w:color w:val="000000"/>
                <w:lang w:eastAsia="en-GB"/>
              </w:rPr>
              <w:t xml:space="preserve"> governance by the Audit and Governance Committee</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constitution and operation of the Audit and Governance Committee against professional guidance and current best practice.</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Borders>
              <w:bottom w:val="single" w:sz="4" w:space="0" w:color="auto"/>
            </w:tcBorders>
          </w:tcPr>
          <w:p w:rsidR="00534482" w:rsidRPr="00534482" w:rsidP="00F66AA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Members </w:t>
            </w:r>
            <w:r w:rsidRPr="00D97BA1">
              <w:rPr>
                <w:rFonts w:ascii="Arial" w:eastAsia="Times New Roman" w:hAnsi="Arial" w:cs="Arial"/>
                <w:color w:val="000000"/>
                <w:lang w:eastAsia="en-GB"/>
              </w:rPr>
              <w:t>have recently been contacted</w:t>
            </w:r>
            <w:r>
              <w:rPr>
                <w:rFonts w:ascii="Arial" w:eastAsia="Times New Roman" w:hAnsi="Arial" w:cs="Arial"/>
                <w:color w:val="000000"/>
                <w:lang w:eastAsia="en-GB"/>
              </w:rPr>
              <w:t xml:space="preserve"> to discuss this audit, on the basis of a draft risk and control framework.</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15"/>
        </w:trPr>
        <w:tc>
          <w:tcPr>
            <w:tcW w:w="5671" w:type="dxa"/>
            <w:gridSpan w:val="2"/>
            <w:tcBorders>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Business effectiveness</w:t>
            </w:r>
          </w:p>
        </w:tc>
        <w:tc>
          <w:tcPr>
            <w:tcW w:w="5812" w:type="dxa"/>
            <w:tcBorders>
              <w:left w:val="nil"/>
              <w:right w:val="nil"/>
            </w:tcBorders>
            <w:shd w:val="clear" w:color="auto" w:fill="auto"/>
          </w:tcPr>
          <w:p w:rsidR="00534482" w:rsidRPr="00534482" w:rsidP="00534482">
            <w:pPr>
              <w:spacing w:before="60" w:after="60" w:line="240" w:lineRule="auto"/>
              <w:rPr>
                <w:rFonts w:ascii="Arial" w:eastAsia="Times New Roman" w:hAnsi="Arial" w:cs="Arial"/>
                <w:b/>
                <w:bCs/>
                <w:color w:val="000000"/>
                <w:lang w:eastAsia="en-GB"/>
              </w:rPr>
            </w:pPr>
          </w:p>
        </w:tc>
        <w:tc>
          <w:tcPr>
            <w:tcW w:w="2976" w:type="dxa"/>
            <w:tcBorders>
              <w:left w:val="nil"/>
              <w:right w:val="nil"/>
            </w:tcBorders>
            <w:shd w:val="clear" w:color="auto" w:fill="auto"/>
          </w:tcPr>
          <w:p w:rsidR="00534482" w:rsidRPr="00534482" w:rsidP="00534482">
            <w:pPr>
              <w:spacing w:before="60" w:after="60" w:line="240" w:lineRule="auto"/>
              <w:rPr>
                <w:rFonts w:ascii="Arial" w:eastAsia="Times New Roman" w:hAnsi="Arial" w:cs="Arial"/>
                <w:b/>
                <w:bCs/>
                <w:color w:val="000000"/>
                <w:lang w:eastAsia="en-GB"/>
              </w:rPr>
            </w:pPr>
          </w:p>
        </w:tc>
        <w:tc>
          <w:tcPr>
            <w:tcW w:w="5416" w:type="dxa"/>
            <w:tcBorders>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1417" w:type="dxa"/>
            <w:tcBorders>
              <w:left w:val="nil"/>
            </w:tcBorders>
          </w:tcPr>
          <w:p w:rsidR="00534482" w:rsidRPr="00534482" w:rsidP="00534482">
            <w:pPr>
              <w:spacing w:before="60" w:after="60" w:line="240" w:lineRule="auto"/>
              <w:rPr>
                <w:rFonts w:ascii="Arial" w:eastAsia="Times New Roman" w:hAnsi="Arial" w:cs="Arial"/>
                <w:b/>
                <w:bCs/>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management</w:t>
            </w: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Preparation and use of the corporate risk register</w:t>
            </w:r>
          </w:p>
        </w:tc>
        <w:tc>
          <w:tcPr>
            <w:tcW w:w="5812" w:type="dxa"/>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Assessment of the principles and practical operation of risk management </w:t>
            </w:r>
            <w:r w:rsidRPr="00534482">
              <w:rPr>
                <w:rFonts w:ascii="Arial" w:eastAsia="Times New Roman" w:hAnsi="Arial" w:cs="Arial"/>
                <w:color w:val="000000"/>
                <w:lang w:eastAsia="en-GB"/>
              </w:rPr>
              <w:t>arrangements to produce a corporate risk register and respond to the issues it records.</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Pr>
          <w:p w:rsidR="00F80D53" w:rsidRPr="0026044B" w:rsidP="00307313">
            <w:pPr>
              <w:spacing w:before="60" w:after="60" w:line="240" w:lineRule="auto"/>
              <w:rPr>
                <w:rFonts w:ascii="Arial" w:hAnsi="Arial" w:cs="Arial"/>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developed and agreed.</w:t>
            </w:r>
            <w:r>
              <w:rPr>
                <w:rFonts w:ascii="Arial" w:hAnsi="Arial" w:cs="Arial"/>
              </w:rPr>
              <w:t xml:space="preserve"> </w:t>
            </w:r>
            <w:r>
              <w:rPr>
                <w:rFonts w:ascii="Arial" w:hAnsi="Arial" w:cs="Arial"/>
              </w:rPr>
              <w:t xml:space="preserve">Work has started on </w:t>
            </w:r>
            <w:r>
              <w:rPr>
                <w:rFonts w:ascii="Arial" w:hAnsi="Arial" w:cs="Arial"/>
              </w:rPr>
              <w:t xml:space="preserve">the operation of the risk management process in </w:t>
            </w:r>
            <w:r>
              <w:rPr>
                <w:rFonts w:ascii="Arial" w:hAnsi="Arial" w:cs="Arial"/>
              </w:rPr>
              <w:t xml:space="preserve">the </w:t>
            </w:r>
            <w:r>
              <w:rPr>
                <w:rFonts w:ascii="Arial" w:hAnsi="Arial" w:cs="Arial"/>
              </w:rPr>
              <w:t xml:space="preserve">first </w:t>
            </w:r>
            <w:r>
              <w:rPr>
                <w:rFonts w:ascii="Arial" w:hAnsi="Arial" w:cs="Arial"/>
              </w:rPr>
              <w:t xml:space="preserve">two </w:t>
            </w:r>
            <w:r>
              <w:rPr>
                <w:rFonts w:ascii="Arial" w:hAnsi="Arial" w:cs="Arial"/>
              </w:rPr>
              <w:t>quarter</w:t>
            </w:r>
            <w:r>
              <w:rPr>
                <w:rFonts w:ascii="Arial" w:hAnsi="Arial" w:cs="Arial"/>
              </w:rPr>
              <w:t>s</w:t>
            </w:r>
            <w:r>
              <w:rPr>
                <w:rFonts w:ascii="Arial" w:hAnsi="Arial" w:cs="Arial"/>
              </w:rPr>
              <w:t xml:space="preserve"> of the year</w:t>
            </w:r>
            <w:r>
              <w:rPr>
                <w:rFonts w:ascii="Arial" w:hAnsi="Arial" w:cs="Arial"/>
              </w:rPr>
              <w:t>, but further c</w:t>
            </w:r>
            <w:r>
              <w:rPr>
                <w:rFonts w:ascii="Arial" w:hAnsi="Arial" w:cs="Arial"/>
              </w:rPr>
              <w:t xml:space="preserve">ontrols testing </w:t>
            </w:r>
            <w:r>
              <w:rPr>
                <w:rFonts w:ascii="Arial" w:hAnsi="Arial" w:cs="Arial"/>
              </w:rPr>
              <w:t xml:space="preserve">will take place </w:t>
            </w:r>
            <w:r w:rsidRPr="00F80D53">
              <w:rPr>
                <w:rFonts w:ascii="Arial" w:hAnsi="Arial" w:cs="Arial"/>
              </w:rPr>
              <w:t xml:space="preserve">in </w:t>
            </w:r>
            <w:r>
              <w:rPr>
                <w:rFonts w:ascii="Arial" w:hAnsi="Arial" w:cs="Arial"/>
              </w:rPr>
              <w:t xml:space="preserve">the </w:t>
            </w:r>
            <w:r>
              <w:rPr>
                <w:rFonts w:ascii="Arial" w:hAnsi="Arial" w:cs="Arial"/>
              </w:rPr>
              <w:t xml:space="preserve">third </w:t>
            </w:r>
            <w:r>
              <w:rPr>
                <w:rFonts w:ascii="Arial" w:hAnsi="Arial" w:cs="Arial"/>
              </w:rPr>
              <w:t>quarter.</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Financial governance</w:t>
            </w: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Delivery of the council's financial strategy and budget reductions</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and control assessment of the measures in place to monitor and achieve </w:t>
            </w:r>
            <w:r w:rsidRPr="00534482">
              <w:rPr>
                <w:rFonts w:ascii="Arial" w:eastAsia="Times New Roman" w:hAnsi="Arial" w:cs="Arial"/>
                <w:color w:val="000000"/>
                <w:lang w:eastAsia="en-GB"/>
              </w:rPr>
              <w:t>planned budget reductions.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534482" w:rsidRPr="002B2D8F" w:rsidP="000108B1">
            <w:pPr>
              <w:spacing w:before="60" w:after="60" w:line="240" w:lineRule="auto"/>
              <w:rPr>
                <w:rFonts w:ascii="Arial" w:eastAsia="Times New Roman" w:hAnsi="Arial" w:cs="Arial"/>
                <w:lang w:eastAsia="en-GB"/>
              </w:rPr>
            </w:pPr>
            <w:r>
              <w:rPr>
                <w:rFonts w:ascii="Arial" w:eastAsia="Times New Roman" w:hAnsi="Arial" w:cs="Arial"/>
                <w:lang w:eastAsia="en-GB"/>
              </w:rPr>
              <w:t xml:space="preserve">Whilst scoping this </w:t>
            </w:r>
            <w:r>
              <w:rPr>
                <w:rFonts w:ascii="Arial" w:eastAsia="Times New Roman" w:hAnsi="Arial" w:cs="Arial"/>
                <w:lang w:eastAsia="en-GB"/>
              </w:rPr>
              <w:t xml:space="preserve">work </w:t>
            </w:r>
            <w:r>
              <w:rPr>
                <w:rFonts w:ascii="Arial" w:eastAsia="Times New Roman" w:hAnsi="Arial" w:cs="Arial"/>
                <w:lang w:eastAsia="en-GB"/>
              </w:rPr>
              <w:t xml:space="preserve">it became clear that the work undertaken by PricewaterhouseCoopers has addressed the same risks. </w:t>
            </w:r>
            <w:r w:rsidRPr="00D97BA1">
              <w:rPr>
                <w:rFonts w:ascii="Arial" w:eastAsia="Times New Roman" w:hAnsi="Arial" w:cs="Arial"/>
                <w:lang w:eastAsia="en-GB"/>
              </w:rPr>
              <w:t>Although</w:t>
            </w:r>
            <w:r w:rsidRPr="00D97BA1">
              <w:rPr>
                <w:rFonts w:ascii="Arial" w:eastAsia="Times New Roman" w:hAnsi="Arial" w:cs="Arial"/>
                <w:lang w:eastAsia="en-GB"/>
              </w:rPr>
              <w:t xml:space="preserve"> their report is still in draft at this point, we expect th</w:t>
            </w:r>
            <w:r w:rsidRPr="00D97BA1">
              <w:rPr>
                <w:rFonts w:ascii="Arial" w:eastAsia="Times New Roman" w:hAnsi="Arial" w:cs="Arial"/>
                <w:lang w:eastAsia="en-GB"/>
              </w:rPr>
              <w:t>at</w:t>
            </w:r>
            <w:r w:rsidRPr="00224583">
              <w:rPr>
                <w:rFonts w:ascii="Arial" w:eastAsia="Times New Roman" w:hAnsi="Arial" w:cs="Arial"/>
                <w:lang w:eastAsia="en-GB"/>
              </w:rPr>
              <w:t xml:space="preserve"> </w:t>
            </w:r>
            <w:r>
              <w:rPr>
                <w:rFonts w:ascii="Arial" w:eastAsia="Times New Roman" w:hAnsi="Arial" w:cs="Arial"/>
                <w:lang w:eastAsia="en-GB"/>
              </w:rPr>
              <w:t xml:space="preserve">it will provide the council with the assurance it requires and do not intend to undertake any additional work. We understand that the council will be able to take substantial assurance that its controls to mitigate the risks of monitoring and achieving </w:t>
            </w:r>
            <w:r>
              <w:rPr>
                <w:rFonts w:ascii="Arial" w:eastAsia="Times New Roman" w:hAnsi="Arial" w:cs="Arial"/>
                <w:lang w:eastAsia="en-GB"/>
              </w:rPr>
              <w:t xml:space="preserve">the </w:t>
            </w:r>
            <w:r>
              <w:rPr>
                <w:rFonts w:ascii="Arial" w:eastAsia="Times New Roman" w:hAnsi="Arial" w:cs="Arial"/>
                <w:lang w:eastAsia="en-GB"/>
              </w:rPr>
              <w:t>planned budget reductions are adequately designed and operating effectively.</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the Lancashire Pension Fund</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governance framework to achieve corporate oversight by the council of the Fund, whose assets are owned</w:t>
            </w:r>
            <w:r w:rsidRPr="00534482">
              <w:rPr>
                <w:rFonts w:ascii="Arial" w:eastAsia="Times New Roman" w:hAnsi="Arial" w:cs="Arial"/>
                <w:color w:val="000000"/>
                <w:lang w:eastAsia="en-GB"/>
              </w:rPr>
              <w:t xml:space="preserve"> by the council.</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534482" w:rsidRPr="00534482" w:rsidP="00065B8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w:t>
            </w:r>
            <w:r>
              <w:rPr>
                <w:rFonts w:ascii="Arial" w:eastAsia="Times New Roman" w:hAnsi="Arial" w:cs="Arial"/>
                <w:color w:val="000000"/>
                <w:lang w:eastAsia="en-GB"/>
              </w:rPr>
              <w:t>esting on t</w:t>
            </w:r>
            <w:r>
              <w:rPr>
                <w:rFonts w:ascii="Arial" w:eastAsia="Times New Roman" w:hAnsi="Arial" w:cs="Arial"/>
                <w:color w:val="000000"/>
                <w:lang w:eastAsia="en-GB"/>
              </w:rPr>
              <w:t>his w</w:t>
            </w:r>
            <w:r>
              <w:rPr>
                <w:rFonts w:ascii="Arial" w:eastAsia="Times New Roman" w:hAnsi="Arial" w:cs="Arial"/>
                <w:color w:val="000000"/>
                <w:lang w:eastAsia="en-GB"/>
              </w:rPr>
              <w:t xml:space="preserve">ork is scheduled </w:t>
            </w:r>
            <w:r>
              <w:rPr>
                <w:rFonts w:ascii="Arial" w:eastAsia="Times New Roman" w:hAnsi="Arial" w:cs="Arial"/>
                <w:color w:val="000000"/>
                <w:lang w:eastAsia="en-GB"/>
              </w:rPr>
              <w:t>for</w:t>
            </w:r>
            <w:r>
              <w:rPr>
                <w:rFonts w:ascii="Arial" w:eastAsia="Times New Roman" w:hAnsi="Arial" w:cs="Arial"/>
                <w:color w:val="000000"/>
                <w:lang w:eastAsia="en-GB"/>
              </w:rPr>
              <w:t xml:space="preserve"> February 2017 but some early work has already begun.</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Acting as accountable body for funding</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Evaluation of the controls that manage the risks in taking on the </w:t>
            </w:r>
            <w:r w:rsidRPr="00534482">
              <w:rPr>
                <w:rFonts w:ascii="Arial" w:eastAsia="Times New Roman" w:hAnsi="Arial" w:cs="Arial"/>
                <w:color w:val="000000"/>
                <w:lang w:eastAsia="en-GB"/>
              </w:rPr>
              <w:t>role of accountable body, taking a sample of the most significant funding streams.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7636BE" w:rsidP="007636BE">
            <w:pPr>
              <w:spacing w:before="60" w:after="60" w:line="240" w:lineRule="auto"/>
              <w:rPr>
                <w:rFonts w:ascii="Arial" w:eastAsia="Times New Roman" w:hAnsi="Arial" w:cs="Arial"/>
                <w:lang w:eastAsia="en-GB"/>
              </w:rPr>
            </w:pPr>
            <w:r>
              <w:rPr>
                <w:rFonts w:ascii="Arial" w:eastAsia="Times New Roman" w:hAnsi="Arial" w:cs="Arial"/>
                <w:lang w:eastAsia="en-GB"/>
              </w:rPr>
              <w:t>We understand that the council now acts as accountable body for very few, but significant, funding streams. The most important o</w:t>
            </w:r>
            <w:r>
              <w:rPr>
                <w:rFonts w:ascii="Arial" w:eastAsia="Times New Roman" w:hAnsi="Arial" w:cs="Arial"/>
                <w:lang w:eastAsia="en-GB"/>
              </w:rPr>
              <w:t xml:space="preserve">nes are the Lancashire Economic Partnership and the Better Care Fund, both of which are subject to specific audit work in the </w:t>
            </w:r>
            <w:r>
              <w:rPr>
                <w:rFonts w:ascii="Arial" w:eastAsia="Times New Roman" w:hAnsi="Arial" w:cs="Arial"/>
                <w:lang w:eastAsia="en-GB"/>
              </w:rPr>
              <w:t>plan</w:t>
            </w:r>
            <w:r>
              <w:rPr>
                <w:rFonts w:ascii="Arial" w:eastAsia="Times New Roman" w:hAnsi="Arial" w:cs="Arial"/>
                <w:lang w:eastAsia="en-GB"/>
              </w:rPr>
              <w:t xml:space="preserve"> for 2016/17.</w:t>
            </w:r>
          </w:p>
          <w:p w:rsidR="00534482" w:rsidRPr="007636BE" w:rsidP="00224583">
            <w:pPr>
              <w:spacing w:before="60" w:after="60" w:line="240" w:lineRule="auto"/>
              <w:rPr>
                <w:rFonts w:ascii="Arial" w:eastAsia="Times New Roman" w:hAnsi="Arial" w:cs="Arial"/>
                <w:lang w:eastAsia="en-GB"/>
              </w:rPr>
            </w:pPr>
            <w:r>
              <w:rPr>
                <w:rFonts w:ascii="Arial" w:eastAsia="Times New Roman" w:hAnsi="Arial" w:cs="Arial"/>
                <w:lang w:eastAsia="en-GB"/>
              </w:rPr>
              <w:t xml:space="preserve">There are no longer a number of disparate smaller funding streams requiring the council to establish </w:t>
            </w:r>
            <w:r>
              <w:rPr>
                <w:rFonts w:ascii="Arial" w:eastAsia="Times New Roman" w:hAnsi="Arial" w:cs="Arial"/>
                <w:lang w:eastAsia="en-GB"/>
              </w:rPr>
              <w:t xml:space="preserve">and operate </w:t>
            </w:r>
            <w:r>
              <w:rPr>
                <w:rFonts w:ascii="Arial" w:eastAsia="Times New Roman" w:hAnsi="Arial" w:cs="Arial"/>
                <w:lang w:eastAsia="en-GB"/>
              </w:rPr>
              <w:t>a standardised control mechanism, and this work will therefore be removed from th</w:t>
            </w:r>
            <w:r>
              <w:rPr>
                <w:rFonts w:ascii="Arial" w:eastAsia="Times New Roman" w:hAnsi="Arial" w:cs="Arial"/>
                <w:lang w:eastAsia="en-GB"/>
              </w:rPr>
              <w:t>e</w:t>
            </w:r>
            <w:r>
              <w:rPr>
                <w:rFonts w:ascii="Arial" w:eastAsia="Times New Roman" w:hAnsi="Arial" w:cs="Arial"/>
                <w:lang w:eastAsia="en-GB"/>
              </w:rPr>
              <w:t xml:space="preserve"> audit </w:t>
            </w:r>
            <w:r>
              <w:rPr>
                <w:rFonts w:ascii="Arial" w:eastAsia="Times New Roman" w:hAnsi="Arial" w:cs="Arial"/>
                <w:lang w:eastAsia="en-GB"/>
              </w:rPr>
              <w:t>plan</w:t>
            </w:r>
            <w:r>
              <w:rPr>
                <w:rFonts w:ascii="Arial" w:eastAsia="Times New Roman" w:hAnsi="Arial" w:cs="Arial"/>
                <w:lang w:eastAsia="en-GB"/>
              </w:rPr>
              <w:t xml:space="preserve"> for this year</w:t>
            </w:r>
            <w:r>
              <w:rPr>
                <w:rFonts w:ascii="Arial" w:eastAsia="Times New Roman" w:hAnsi="Arial" w:cs="Arial"/>
                <w:lang w:eastAsia="en-GB"/>
              </w:rPr>
              <w:t>.</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Performance monitoring</w:t>
            </w:r>
          </w:p>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Corporate performance monitoring</w:t>
            </w:r>
          </w:p>
        </w:tc>
        <w:tc>
          <w:tcPr>
            <w:tcW w:w="5812"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 to management in establishing a revised framework for monitoring and</w:t>
            </w:r>
            <w:r w:rsidRPr="00534482">
              <w:rPr>
                <w:rFonts w:ascii="Arial" w:eastAsia="Times New Roman" w:hAnsi="Arial" w:cs="Arial"/>
                <w:color w:val="000000"/>
                <w:lang w:eastAsia="en-GB"/>
              </w:rPr>
              <w:t xml:space="preserve"> managing achievement of the council's key strategies.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 to management to improve controls</w:t>
            </w:r>
          </w:p>
        </w:tc>
        <w:tc>
          <w:tcPr>
            <w:tcW w:w="5416" w:type="dxa"/>
            <w:tcBorders>
              <w:bottom w:val="single" w:sz="4" w:space="0" w:color="auto"/>
            </w:tcBorders>
          </w:tcPr>
          <w:p w:rsidR="00F17427" w:rsidRPr="004A2CBF" w:rsidP="00307313">
            <w:pPr>
              <w:spacing w:before="60" w:after="60" w:line="240" w:lineRule="auto"/>
              <w:rPr>
                <w:rFonts w:ascii="Arial" w:hAnsi="Arial" w:cs="Arial"/>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relating to the current process </w:t>
            </w:r>
            <w:r>
              <w:rPr>
                <w:rFonts w:ascii="Arial" w:hAnsi="Arial" w:cs="Arial"/>
              </w:rPr>
              <w:t xml:space="preserve">has been </w:t>
            </w:r>
            <w:r>
              <w:rPr>
                <w:rFonts w:ascii="Arial" w:hAnsi="Arial" w:cs="Arial"/>
              </w:rPr>
              <w:t xml:space="preserve">developed and </w:t>
            </w:r>
            <w:r>
              <w:rPr>
                <w:rFonts w:ascii="Arial" w:hAnsi="Arial" w:cs="Arial"/>
              </w:rPr>
              <w:t>is being considered by the audit sponsor</w:t>
            </w:r>
            <w:r>
              <w:rPr>
                <w:rFonts w:ascii="Arial" w:hAnsi="Arial" w:cs="Arial"/>
              </w:rPr>
              <w:t xml:space="preserve">, </w:t>
            </w:r>
            <w:r>
              <w:rPr>
                <w:rFonts w:ascii="Arial" w:hAnsi="Arial" w:cs="Arial"/>
              </w:rPr>
              <w:t>but</w:t>
            </w:r>
            <w:r>
              <w:rPr>
                <w:rFonts w:ascii="Arial" w:hAnsi="Arial" w:cs="Arial"/>
              </w:rPr>
              <w:t xml:space="preserve"> testing will largely take place in the third quarter of the year.</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15"/>
        </w:trPr>
        <w:tc>
          <w:tcPr>
            <w:tcW w:w="2127" w:type="dxa"/>
            <w:tcBorders>
              <w:top w:val="single" w:sz="4" w:space="0" w:color="auto"/>
              <w:bottom w:val="single" w:sz="4" w:space="0" w:color="auto"/>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delivery</w:t>
            </w:r>
          </w:p>
        </w:tc>
        <w:tc>
          <w:tcPr>
            <w:tcW w:w="3544"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5812" w:type="dxa"/>
            <w:tcBorders>
              <w:top w:val="single" w:sz="4" w:space="0" w:color="auto"/>
              <w:left w:val="nil"/>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p>
        </w:tc>
        <w:tc>
          <w:tcPr>
            <w:tcW w:w="2976"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5416"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1417" w:type="dxa"/>
            <w:tcBorders>
              <w:top w:val="single" w:sz="4" w:space="0" w:color="auto"/>
              <w:left w:val="nil"/>
              <w:right w:val="single" w:sz="4" w:space="0" w:color="auto"/>
            </w:tcBorders>
          </w:tcPr>
          <w:p w:rsidR="00534482" w:rsidRPr="00534482" w:rsidP="00534482">
            <w:pPr>
              <w:spacing w:before="60" w:after="60" w:line="240" w:lineRule="auto"/>
              <w:rPr>
                <w:rFonts w:ascii="Arial" w:eastAsia="Times New Roman" w:hAnsi="Arial" w:cs="Arial"/>
                <w:b/>
                <w:bCs/>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Children's services</w:t>
            </w: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Escalation of matters of strategic or political importance through to the Operations and Delivery management team and beyond if appropriate</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testing of the escalation as appropriate of issues arising within individual caseloads or social care teams.</w:t>
            </w:r>
          </w:p>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This work could be replicated in other service areas but will be piloted here first.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Controls to mitigate a significant risk, and </w:t>
            </w:r>
          </w:p>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w:t>
            </w:r>
            <w:r w:rsidRPr="00534482">
              <w:rPr>
                <w:rFonts w:ascii="Arial" w:eastAsia="Times New Roman" w:hAnsi="Arial" w:cs="Arial"/>
                <w:color w:val="000000"/>
                <w:lang w:eastAsia="en-GB"/>
              </w:rPr>
              <w:t>rting work relating to risk management</w:t>
            </w:r>
          </w:p>
        </w:tc>
        <w:tc>
          <w:tcPr>
            <w:tcW w:w="5416" w:type="dxa"/>
          </w:tcPr>
          <w:p w:rsidR="00534482" w:rsidRPr="00534482" w:rsidP="002C783A">
            <w:pPr>
              <w:spacing w:before="60" w:after="60" w:line="240" w:lineRule="auto"/>
              <w:rPr>
                <w:rFonts w:ascii="Arial" w:eastAsia="Times New Roman" w:hAnsi="Arial" w:cs="Arial"/>
                <w:color w:val="000000"/>
                <w:lang w:eastAsia="en-GB"/>
              </w:rPr>
            </w:pPr>
            <w:r w:rsidRPr="00164ED0">
              <w:rPr>
                <w:rFonts w:ascii="Arial" w:eastAsia="Times New Roman" w:hAnsi="Arial" w:cs="Arial"/>
                <w:lang w:eastAsia="en-GB"/>
              </w:rPr>
              <w:t>Work is scheduled to start in October.</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lang w:eastAsia="en-GB"/>
              </w:rPr>
            </w:pPr>
          </w:p>
        </w:tc>
        <w:tc>
          <w:tcPr>
            <w:tcW w:w="3544"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Identification of, and responses to, external feedback on children's services and schools</w:t>
            </w:r>
          </w:p>
        </w:tc>
        <w:tc>
          <w:tcPr>
            <w:tcW w:w="5812" w:type="dxa"/>
            <w:shd w:val="clear" w:color="auto" w:fill="auto"/>
            <w:noWrap/>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Assessment of the potential sources of feedback and operational services' responses </w:t>
            </w:r>
            <w:r w:rsidRPr="00534482">
              <w:rPr>
                <w:rFonts w:ascii="Arial" w:eastAsia="Times New Roman" w:hAnsi="Arial" w:cs="Arial"/>
                <w:lang w:eastAsia="en-GB"/>
              </w:rPr>
              <w:t>to these including escalation of the information to senior management.</w:t>
            </w:r>
          </w:p>
        </w:tc>
        <w:tc>
          <w:tcPr>
            <w:tcW w:w="2976"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Pr>
          <w:p w:rsidR="00534482" w:rsidRPr="00534482" w:rsidP="002C783A">
            <w:pPr>
              <w:spacing w:before="60" w:after="60" w:line="240" w:lineRule="auto"/>
              <w:rPr>
                <w:rFonts w:ascii="Arial" w:eastAsia="Times New Roman" w:hAnsi="Arial" w:cs="Arial"/>
                <w:lang w:eastAsia="en-GB"/>
              </w:rPr>
            </w:pPr>
            <w:r w:rsidRPr="00164ED0">
              <w:rPr>
                <w:rFonts w:ascii="Arial" w:eastAsia="Times New Roman" w:hAnsi="Arial" w:cs="Arial"/>
                <w:lang w:eastAsia="en-GB"/>
              </w:rPr>
              <w:t xml:space="preserve">This </w:t>
            </w:r>
            <w:r>
              <w:rPr>
                <w:rFonts w:ascii="Arial" w:eastAsia="Times New Roman" w:hAnsi="Arial" w:cs="Arial"/>
                <w:lang w:eastAsia="en-GB"/>
              </w:rPr>
              <w:t>audit work is just beginning, and will be informed by other work done during July and August arising from a whistleblowing call.</w:t>
            </w:r>
          </w:p>
        </w:tc>
        <w:tc>
          <w:tcPr>
            <w:tcW w:w="1417" w:type="dxa"/>
          </w:tcPr>
          <w:p w:rsidR="00534482" w:rsidRPr="00534482" w:rsidP="00534482">
            <w:pPr>
              <w:spacing w:before="60" w:after="60" w:line="240" w:lineRule="auto"/>
              <w:rPr>
                <w:rFonts w:ascii="Arial" w:eastAsia="Times New Roman" w:hAnsi="Arial" w:cs="Arial"/>
                <w:lang w:eastAsia="en-GB"/>
              </w:rPr>
            </w:pPr>
          </w:p>
        </w:tc>
      </w:tr>
      <w:tr w:rsidTr="00633223">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lang w:eastAsia="en-GB"/>
              </w:rPr>
            </w:pPr>
          </w:p>
        </w:tc>
        <w:tc>
          <w:tcPr>
            <w:tcW w:w="3544"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Data held on LCS (Lancashire Children's Services system provided by Liquidlogic)</w:t>
            </w:r>
          </w:p>
        </w:tc>
        <w:tc>
          <w:tcPr>
            <w:tcW w:w="5812" w:type="dxa"/>
            <w:shd w:val="clear" w:color="auto" w:fill="auto"/>
            <w:noWrap/>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completeness and accuracy of the data records held on LCS.</w:t>
            </w:r>
          </w:p>
        </w:tc>
        <w:tc>
          <w:tcPr>
            <w:tcW w:w="2976"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Controls to mitigate a significant risk</w:t>
            </w:r>
          </w:p>
        </w:tc>
        <w:tc>
          <w:tcPr>
            <w:tcW w:w="5416" w:type="dxa"/>
          </w:tcPr>
          <w:p w:rsidR="00534482" w:rsidRPr="00534482" w:rsidP="00D43D0B">
            <w:pPr>
              <w:spacing w:before="60" w:after="60" w:line="240" w:lineRule="auto"/>
              <w:rPr>
                <w:rFonts w:ascii="Arial" w:eastAsia="Times New Roman" w:hAnsi="Arial" w:cs="Arial"/>
                <w:color w:val="000000"/>
                <w:lang w:eastAsia="en-GB"/>
              </w:rPr>
            </w:pPr>
            <w:r>
              <w:rPr>
                <w:rFonts w:ascii="Arial" w:eastAsia="Times New Roman" w:hAnsi="Arial" w:cs="Arial"/>
                <w:lang w:eastAsia="en-GB"/>
              </w:rPr>
              <w:t xml:space="preserve">We intend to draw on the experience of developing </w:t>
            </w:r>
            <w:r>
              <w:rPr>
                <w:rFonts w:ascii="Arial" w:eastAsia="Times New Roman" w:hAnsi="Arial" w:cs="Arial"/>
                <w:lang w:eastAsia="en-GB"/>
              </w:rPr>
              <w:t xml:space="preserve">and testing </w:t>
            </w:r>
            <w:r>
              <w:rPr>
                <w:rFonts w:ascii="Arial" w:eastAsia="Times New Roman" w:hAnsi="Arial" w:cs="Arial"/>
                <w:lang w:eastAsia="en-GB"/>
              </w:rPr>
              <w:t xml:space="preserve">the risk and control framework </w:t>
            </w:r>
            <w:r>
              <w:rPr>
                <w:rFonts w:ascii="Arial" w:eastAsia="Times New Roman" w:hAnsi="Arial" w:cs="Arial"/>
                <w:lang w:eastAsia="en-GB"/>
              </w:rPr>
              <w:t xml:space="preserve">for </w:t>
            </w:r>
            <w:r>
              <w:rPr>
                <w:rFonts w:ascii="Arial" w:eastAsia="Times New Roman" w:hAnsi="Arial" w:cs="Arial"/>
                <w:lang w:eastAsia="en-GB"/>
              </w:rPr>
              <w:t>the data held on LAS. This will be confirmed</w:t>
            </w:r>
            <w:r>
              <w:rPr>
                <w:rFonts w:ascii="Arial" w:eastAsia="Times New Roman" w:hAnsi="Arial" w:cs="Arial"/>
                <w:lang w:eastAsia="en-GB"/>
              </w:rPr>
              <w:t xml:space="preserve">, but </w:t>
            </w:r>
            <w:r>
              <w:rPr>
                <w:rFonts w:ascii="Arial" w:eastAsia="Times New Roman" w:hAnsi="Arial" w:cs="Arial"/>
                <w:lang w:eastAsia="en-GB"/>
              </w:rPr>
              <w:t>w</w:t>
            </w:r>
            <w:r w:rsidRPr="000F0BD4">
              <w:rPr>
                <w:rFonts w:ascii="Arial" w:eastAsia="Times New Roman" w:hAnsi="Arial" w:cs="Arial"/>
                <w:lang w:eastAsia="en-GB"/>
              </w:rPr>
              <w:t>ork i</w:t>
            </w:r>
            <w:r>
              <w:rPr>
                <w:rFonts w:ascii="Arial" w:eastAsia="Times New Roman" w:hAnsi="Arial" w:cs="Arial"/>
                <w:lang w:eastAsia="en-GB"/>
              </w:rPr>
              <w:t>s scheduled to start in October.</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633223">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schools' financial management</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and control evaluation of the arrangements to oversee schools' </w:t>
            </w:r>
            <w:r w:rsidRPr="00534482">
              <w:rPr>
                <w:rFonts w:ascii="Arial" w:eastAsia="Times New Roman" w:hAnsi="Arial" w:cs="Arial"/>
                <w:color w:val="000000"/>
                <w:lang w:eastAsia="en-GB"/>
              </w:rPr>
              <w:t>financial management.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Pr>
          <w:p w:rsidR="006804C3" w:rsidRPr="00084AC2" w:rsidP="00534482">
            <w:pPr>
              <w:spacing w:before="60" w:after="60" w:line="240" w:lineRule="auto"/>
              <w:rPr>
                <w:rFonts w:ascii="Arial" w:hAnsi="Arial" w:cs="Arial"/>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developed</w:t>
            </w:r>
            <w:r>
              <w:rPr>
                <w:rFonts w:ascii="Arial" w:hAnsi="Arial" w:cs="Arial"/>
              </w:rPr>
              <w:t xml:space="preserve"> and, once agreed, testing will start immediately.</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633223" w:rsidRPr="00534482" w:rsidP="00534482">
            <w:pPr>
              <w:spacing w:before="60" w:after="60" w:line="240" w:lineRule="auto"/>
              <w:rPr>
                <w:rFonts w:ascii="Arial" w:eastAsia="Times New Roman" w:hAnsi="Arial" w:cs="Arial"/>
                <w:color w:val="000000"/>
                <w:lang w:eastAsia="en-GB"/>
              </w:rPr>
            </w:pPr>
          </w:p>
        </w:tc>
        <w:tc>
          <w:tcPr>
            <w:tcW w:w="3544" w:type="dxa"/>
          </w:tcPr>
          <w:p w:rsidR="00633223"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Certification of claims made under the Working Together with </w:t>
            </w:r>
            <w:r w:rsidRPr="00534482">
              <w:rPr>
                <w:rFonts w:ascii="Arial" w:eastAsia="Times New Roman" w:hAnsi="Arial" w:cs="Arial"/>
                <w:color w:val="000000"/>
                <w:lang w:eastAsia="en-GB"/>
              </w:rPr>
              <w:t>Families Programme</w:t>
            </w:r>
          </w:p>
        </w:tc>
        <w:tc>
          <w:tcPr>
            <w:tcW w:w="5812" w:type="dxa"/>
            <w:shd w:val="clear" w:color="auto" w:fill="auto"/>
            <w:noWrap/>
          </w:tcPr>
          <w:p w:rsidR="00633223" w:rsidRPr="00534482" w:rsidP="0063322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Testing </w:t>
            </w:r>
            <w:r>
              <w:rPr>
                <w:rFonts w:ascii="Arial" w:eastAsia="Times New Roman" w:hAnsi="Arial" w:cs="Arial"/>
                <w:color w:val="000000"/>
                <w:lang w:eastAsia="en-GB"/>
              </w:rPr>
              <w:t>to certify that central government's</w:t>
            </w:r>
            <w:r w:rsidRPr="00534482">
              <w:rPr>
                <w:rFonts w:ascii="Arial" w:eastAsia="Times New Roman" w:hAnsi="Arial" w:cs="Arial"/>
                <w:color w:val="000000"/>
                <w:lang w:eastAsia="en-GB"/>
              </w:rPr>
              <w:t xml:space="preserve"> grant funding requirements</w:t>
            </w:r>
            <w:r>
              <w:rPr>
                <w:rFonts w:ascii="Arial" w:eastAsia="Times New Roman" w:hAnsi="Arial" w:cs="Arial"/>
                <w:color w:val="000000"/>
                <w:lang w:eastAsia="en-GB"/>
              </w:rPr>
              <w:t xml:space="preserve"> have been met.</w:t>
            </w:r>
          </w:p>
        </w:tc>
        <w:tc>
          <w:tcPr>
            <w:tcW w:w="2976" w:type="dxa"/>
          </w:tcPr>
          <w:p w:rsidR="00633223"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Pr>
          <w:p w:rsidR="00633223" w:rsidRPr="003D7475" w:rsidP="00D43D0B">
            <w:pPr>
              <w:spacing w:before="60" w:after="60" w:line="240" w:lineRule="auto"/>
              <w:rPr>
                <w:rFonts w:ascii="Arial" w:hAnsi="Arial" w:cs="Arial"/>
                <w:color w:val="FF0000"/>
              </w:rPr>
            </w:pPr>
            <w:r w:rsidRPr="000F0BD4">
              <w:rPr>
                <w:rFonts w:ascii="Arial" w:hAnsi="Arial" w:cs="Arial"/>
              </w:rPr>
              <w:t>We have been w</w:t>
            </w:r>
            <w:r w:rsidRPr="000F0BD4">
              <w:rPr>
                <w:rFonts w:ascii="Arial" w:hAnsi="Arial" w:cs="Arial"/>
              </w:rPr>
              <w:t xml:space="preserve">orking with the service </w:t>
            </w:r>
            <w:r>
              <w:rPr>
                <w:rFonts w:ascii="Arial" w:hAnsi="Arial" w:cs="Arial"/>
              </w:rPr>
              <w:t>as it has identified</w:t>
            </w:r>
            <w:r w:rsidRPr="000F0BD4">
              <w:rPr>
                <w:rFonts w:ascii="Arial" w:hAnsi="Arial" w:cs="Arial"/>
              </w:rPr>
              <w:t xml:space="preserve"> the risks and controls framework for the programme and </w:t>
            </w:r>
            <w:r>
              <w:rPr>
                <w:rFonts w:ascii="Arial" w:hAnsi="Arial" w:cs="Arial"/>
              </w:rPr>
              <w:t>related</w:t>
            </w:r>
            <w:r w:rsidRPr="000F0BD4">
              <w:rPr>
                <w:rFonts w:ascii="Arial" w:hAnsi="Arial" w:cs="Arial"/>
              </w:rPr>
              <w:t xml:space="preserve"> funding </w:t>
            </w:r>
            <w:r w:rsidRPr="000F0BD4">
              <w:rPr>
                <w:rFonts w:ascii="Arial" w:hAnsi="Arial" w:cs="Arial"/>
              </w:rPr>
              <w:t>claim</w:t>
            </w:r>
            <w:r w:rsidRPr="000F0BD4">
              <w:rPr>
                <w:rFonts w:ascii="Arial" w:hAnsi="Arial" w:cs="Arial"/>
              </w:rPr>
              <w:t>s</w:t>
            </w:r>
            <w:r w:rsidRPr="000F0BD4">
              <w:rPr>
                <w:rFonts w:ascii="Arial" w:hAnsi="Arial" w:cs="Arial"/>
              </w:rPr>
              <w:t xml:space="preserve">, </w:t>
            </w:r>
            <w:r>
              <w:rPr>
                <w:rFonts w:ascii="Arial" w:hAnsi="Arial" w:cs="Arial"/>
              </w:rPr>
              <w:t>and will review</w:t>
            </w:r>
            <w:r w:rsidRPr="000F0BD4">
              <w:rPr>
                <w:rFonts w:ascii="Arial" w:hAnsi="Arial" w:cs="Arial"/>
              </w:rPr>
              <w:t xml:space="preserve"> the validation check list and sample claims prior to the first claim being submitted.</w:t>
            </w:r>
          </w:p>
        </w:tc>
        <w:tc>
          <w:tcPr>
            <w:tcW w:w="1417" w:type="dxa"/>
          </w:tcPr>
          <w:p w:rsidR="00633223"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Adults' services</w:t>
            </w: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supervision and support to front-line social workers to ensure safeguarding of service users</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Risk and control </w:t>
            </w:r>
            <w:r w:rsidRPr="00534482">
              <w:rPr>
                <w:rFonts w:ascii="Arial" w:eastAsia="Times New Roman" w:hAnsi="Arial" w:cs="Arial"/>
                <w:lang w:eastAsia="en-GB"/>
              </w:rPr>
              <w:t>evaluation of supervision and support arrangements under the new team management arrangements, with full compliance testing.</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tcBorders>
              <w:top w:val="single" w:sz="4" w:space="0" w:color="auto"/>
              <w:left w:val="single" w:sz="4" w:space="0" w:color="auto"/>
              <w:bottom w:val="single" w:sz="4" w:space="0" w:color="auto"/>
              <w:right w:val="single" w:sz="4" w:space="0" w:color="auto"/>
            </w:tcBorders>
          </w:tcPr>
          <w:p w:rsidR="00485339" w:rsidRPr="00084AC2" w:rsidP="00D43D0B">
            <w:pPr>
              <w:spacing w:before="60" w:after="60" w:line="240" w:lineRule="auto"/>
              <w:rPr>
                <w:rFonts w:ascii="Arial" w:hAnsi="Arial" w:cs="Arial"/>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developed and agre</w:t>
            </w:r>
            <w:r w:rsidRPr="008B0B31">
              <w:rPr>
                <w:rFonts w:ascii="Arial" w:hAnsi="Arial" w:cs="Arial"/>
              </w:rPr>
              <w:t>ed</w:t>
            </w:r>
            <w:r>
              <w:rPr>
                <w:rFonts w:ascii="Arial" w:hAnsi="Arial" w:cs="Arial"/>
              </w:rPr>
              <w:t xml:space="preserve"> with the principal social worker. We will test the current system once we have obtained the information we need about the sample population.</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lang w:eastAsia="en-GB"/>
              </w:rPr>
            </w:pPr>
          </w:p>
        </w:tc>
        <w:tc>
          <w:tcPr>
            <w:tcW w:w="3544"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Data held on LAS (Lancashire Adult Services system provided by Liquidlogic)</w:t>
            </w:r>
          </w:p>
        </w:tc>
        <w:tc>
          <w:tcPr>
            <w:tcW w:w="5812" w:type="dxa"/>
            <w:tcBorders>
              <w:top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Compliance testing of the </w:t>
            </w:r>
            <w:r w:rsidRPr="00534482">
              <w:rPr>
                <w:rFonts w:ascii="Arial" w:eastAsia="Times New Roman" w:hAnsi="Arial" w:cs="Arial"/>
                <w:lang w:eastAsia="en-GB"/>
              </w:rPr>
              <w:t>completeness and accuracy of the data records held on LAS.</w:t>
            </w:r>
          </w:p>
        </w:tc>
        <w:tc>
          <w:tcPr>
            <w:tcW w:w="2976"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Borders>
              <w:top w:val="single" w:sz="4" w:space="0" w:color="auto"/>
            </w:tcBorders>
          </w:tcPr>
          <w:p w:rsidR="00485339" w:rsidP="00485339">
            <w:pPr>
              <w:spacing w:before="60" w:after="60" w:line="240" w:lineRule="auto"/>
              <w:rPr>
                <w:rFonts w:ascii="Arial" w:hAnsi="Arial" w:cs="Arial"/>
              </w:rPr>
            </w:pPr>
            <w:r>
              <w:rPr>
                <w:rFonts w:ascii="Arial" w:hAnsi="Arial" w:cs="Arial"/>
              </w:rPr>
              <w:t>This audit will be undertaken in conjunction with the three audits of case management below</w:t>
            </w:r>
            <w:r>
              <w:rPr>
                <w:rFonts w:ascii="Arial" w:hAnsi="Arial" w:cs="Arial"/>
              </w:rPr>
              <w:t>, all of which impact on the data held on LAS.</w:t>
            </w:r>
          </w:p>
          <w:p w:rsidR="00485339" w:rsidRPr="000108B1" w:rsidP="00ED08C5">
            <w:pPr>
              <w:spacing w:before="60" w:after="60" w:line="240" w:lineRule="auto"/>
              <w:rPr>
                <w:rFonts w:ascii="Arial" w:hAnsi="Arial" w:cs="Arial"/>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 xml:space="preserve">developed </w:t>
            </w:r>
            <w:r>
              <w:rPr>
                <w:rFonts w:ascii="Arial" w:hAnsi="Arial" w:cs="Arial"/>
              </w:rPr>
              <w:t xml:space="preserve">for this audit </w:t>
            </w:r>
            <w:r w:rsidRPr="008B0B31">
              <w:rPr>
                <w:rFonts w:ascii="Arial" w:hAnsi="Arial" w:cs="Arial"/>
              </w:rPr>
              <w:t xml:space="preserve">and </w:t>
            </w:r>
            <w:r>
              <w:rPr>
                <w:rFonts w:ascii="Arial" w:hAnsi="Arial" w:cs="Arial"/>
              </w:rPr>
              <w:t xml:space="preserve">will be </w:t>
            </w:r>
            <w:r w:rsidRPr="008B0B31">
              <w:rPr>
                <w:rFonts w:ascii="Arial" w:hAnsi="Arial" w:cs="Arial"/>
              </w:rPr>
              <w:t>agreed</w:t>
            </w:r>
            <w:r>
              <w:rPr>
                <w:rFonts w:ascii="Arial" w:hAnsi="Arial" w:cs="Arial"/>
              </w:rPr>
              <w:t xml:space="preserve"> with the director of adult services</w:t>
            </w:r>
            <w:r w:rsidRPr="008B0B31">
              <w:rPr>
                <w:rFonts w:ascii="Arial" w:hAnsi="Arial" w:cs="Arial"/>
              </w:rPr>
              <w:t>.</w:t>
            </w:r>
            <w:r>
              <w:rPr>
                <w:rFonts w:ascii="Arial" w:hAnsi="Arial" w:cs="Arial"/>
              </w:rPr>
              <w:t xml:space="preserve"> </w:t>
            </w:r>
            <w:r>
              <w:rPr>
                <w:rFonts w:ascii="Arial" w:hAnsi="Arial" w:cs="Arial"/>
              </w:rPr>
              <w:t>Testing of this will take place during November, and will be informed by testing of</w:t>
            </w:r>
            <w:r>
              <w:rPr>
                <w:rFonts w:ascii="Arial" w:hAnsi="Arial" w:cs="Arial"/>
              </w:rPr>
              <w:t xml:space="preserve"> the</w:t>
            </w:r>
            <w:r>
              <w:rPr>
                <w:rFonts w:ascii="Arial" w:hAnsi="Arial" w:cs="Arial"/>
              </w:rPr>
              <w:t xml:space="preserve"> case management</w:t>
            </w:r>
            <w:r>
              <w:rPr>
                <w:rFonts w:ascii="Arial" w:hAnsi="Arial" w:cs="Arial"/>
              </w:rPr>
              <w:t xml:space="preserve"> processes</w:t>
            </w:r>
            <w:r>
              <w:rPr>
                <w:rFonts w:ascii="Arial" w:hAnsi="Arial" w:cs="Arial"/>
              </w:rPr>
              <w:t>.</w:t>
            </w:r>
          </w:p>
        </w:tc>
        <w:tc>
          <w:tcPr>
            <w:tcW w:w="1417"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3507AF">
        <w:tblPrEx>
          <w:tblW w:w="21292" w:type="dxa"/>
          <w:tblInd w:w="-176" w:type="dxa"/>
          <w:tblLayout w:type="fixed"/>
          <w:tblLook w:val="04A0"/>
        </w:tblPrEx>
        <w:trPr>
          <w:trHeight w:val="300"/>
        </w:trPr>
        <w:tc>
          <w:tcPr>
            <w:tcW w:w="2127" w:type="dxa"/>
            <w:tcBorders>
              <w:top w:val="nil"/>
              <w:bottom w:val="nil"/>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assignment of officer</w:t>
            </w:r>
            <w:r w:rsidRPr="00534482">
              <w:rPr>
                <w:rFonts w:ascii="Arial" w:eastAsia="Times New Roman" w:hAnsi="Arial" w:cs="Arial"/>
                <w:lang w:eastAsia="en-GB"/>
              </w:rPr>
              <w:t>s to cases</w:t>
            </w:r>
          </w:p>
        </w:tc>
        <w:tc>
          <w:tcPr>
            <w:tcW w:w="5812" w:type="dxa"/>
            <w:tcBorders>
              <w:top w:val="single" w:sz="4" w:space="0" w:color="auto"/>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Risk and control evaluation of assignment of cases and workloads, with compliance testing following implementation of new team working arrangements.</w:t>
            </w:r>
          </w:p>
        </w:tc>
        <w:tc>
          <w:tcPr>
            <w:tcW w:w="2976"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vMerge w:val="restart"/>
            <w:tcBorders>
              <w:top w:val="single" w:sz="4" w:space="0" w:color="auto"/>
            </w:tcBorders>
          </w:tcPr>
          <w:p w:rsidR="00EA3C90" w:rsidRPr="00EA3C90" w:rsidP="00D43D0B">
            <w:pPr>
              <w:spacing w:before="60" w:after="60" w:line="240" w:lineRule="auto"/>
              <w:rPr>
                <w:rFonts w:ascii="Arial" w:hAnsi="Arial" w:cs="Arial"/>
              </w:rPr>
            </w:pPr>
            <w:r>
              <w:rPr>
                <w:rFonts w:ascii="Arial" w:hAnsi="Arial" w:cs="Arial"/>
              </w:rPr>
              <w:t xml:space="preserve">A single risk and control framework has been developed for these three areas of case </w:t>
            </w:r>
            <w:r w:rsidRPr="00ED08C5">
              <w:rPr>
                <w:rFonts w:ascii="Arial" w:hAnsi="Arial" w:cs="Arial"/>
              </w:rPr>
              <w:t xml:space="preserve">management and testing </w:t>
            </w:r>
            <w:r>
              <w:rPr>
                <w:rFonts w:ascii="Arial" w:hAnsi="Arial" w:cs="Arial"/>
              </w:rPr>
              <w:t xml:space="preserve">on all three </w:t>
            </w:r>
            <w:r w:rsidRPr="00ED08C5">
              <w:rPr>
                <w:rFonts w:ascii="Arial" w:hAnsi="Arial" w:cs="Arial"/>
              </w:rPr>
              <w:t>is scheduled for October.</w:t>
            </w:r>
          </w:p>
        </w:tc>
        <w:tc>
          <w:tcPr>
            <w:tcW w:w="1417"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p>
        </w:tc>
      </w:tr>
      <w:tr w:rsidTr="003507AF">
        <w:tblPrEx>
          <w:tblW w:w="21292" w:type="dxa"/>
          <w:tblInd w:w="-176" w:type="dxa"/>
          <w:tblLayout w:type="fixed"/>
          <w:tblLook w:val="04A0"/>
        </w:tblPrEx>
        <w:trPr>
          <w:trHeight w:val="300"/>
        </w:trPr>
        <w:tc>
          <w:tcPr>
            <w:tcW w:w="2127" w:type="dxa"/>
            <w:tcBorders>
              <w:top w:val="nil"/>
              <w:bottom w:val="nil"/>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timely completion of action to statutory and advisory deadlines</w:t>
            </w:r>
          </w:p>
        </w:tc>
        <w:tc>
          <w:tcPr>
            <w:tcW w:w="5812" w:type="dxa"/>
            <w:tcBorders>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w:t>
            </w:r>
            <w:r w:rsidRPr="00534482">
              <w:rPr>
                <w:rFonts w:ascii="Arial" w:eastAsia="Times New Roman" w:hAnsi="Arial" w:cs="Arial"/>
                <w:lang w:eastAsia="en-GB"/>
              </w:rPr>
              <w:t xml:space="preserve"> timeliness of case management action against the deadlines set in legislation and the council's policies.</w:t>
            </w:r>
          </w:p>
        </w:tc>
        <w:tc>
          <w:tcPr>
            <w:tcW w:w="2976"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vMerge/>
          </w:tcPr>
          <w:p w:rsidR="00EA3C90" w:rsidRPr="00534482" w:rsidP="00485339">
            <w:pPr>
              <w:spacing w:before="60" w:after="60" w:line="240" w:lineRule="auto"/>
              <w:rPr>
                <w:rFonts w:ascii="Arial" w:eastAsia="Times New Roman" w:hAnsi="Arial" w:cs="Arial"/>
                <w:lang w:eastAsia="en-GB"/>
              </w:rPr>
            </w:pPr>
          </w:p>
        </w:tc>
        <w:tc>
          <w:tcPr>
            <w:tcW w:w="1417"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p>
        </w:tc>
      </w:tr>
      <w:tr w:rsidTr="00D43D0B">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EA3C90" w:rsidRPr="00534482" w:rsidP="00ED08C5">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Case management: </w:t>
            </w:r>
            <w:r>
              <w:rPr>
                <w:rFonts w:ascii="Arial" w:eastAsia="Times New Roman" w:hAnsi="Arial" w:cs="Arial"/>
                <w:lang w:eastAsia="en-GB"/>
              </w:rPr>
              <w:t>d</w:t>
            </w:r>
            <w:r w:rsidRPr="00534482">
              <w:rPr>
                <w:rFonts w:ascii="Arial" w:eastAsia="Times New Roman" w:hAnsi="Arial" w:cs="Arial"/>
                <w:lang w:eastAsia="en-GB"/>
              </w:rPr>
              <w:t>elegation of responsibiliti</w:t>
            </w:r>
            <w:r>
              <w:rPr>
                <w:rFonts w:ascii="Arial" w:eastAsia="Times New Roman" w:hAnsi="Arial" w:cs="Arial"/>
                <w:lang w:eastAsia="en-GB"/>
              </w:rPr>
              <w:t xml:space="preserve">es to accredited social </w:t>
            </w:r>
            <w:r>
              <w:rPr>
                <w:rFonts w:ascii="Arial" w:eastAsia="Times New Roman" w:hAnsi="Arial" w:cs="Arial"/>
                <w:lang w:eastAsia="en-GB"/>
              </w:rPr>
              <w:t>workers</w:t>
            </w:r>
          </w:p>
        </w:tc>
        <w:tc>
          <w:tcPr>
            <w:tcW w:w="5812" w:type="dxa"/>
            <w:tcBorders>
              <w:top w:val="single" w:sz="4" w:space="0" w:color="auto"/>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accreditations awarded to social workers to facilitate their taking on enhanced responsibilities for case management decisions.</w:t>
            </w:r>
          </w:p>
        </w:tc>
        <w:tc>
          <w:tcPr>
            <w:tcW w:w="2976"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Coverage of controls across the organisation</w:t>
            </w:r>
          </w:p>
        </w:tc>
        <w:tc>
          <w:tcPr>
            <w:tcW w:w="5416" w:type="dxa"/>
            <w:vMerge/>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p>
        </w:tc>
        <w:tc>
          <w:tcPr>
            <w:tcW w:w="1417"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p>
        </w:tc>
      </w:tr>
      <w:tr w:rsidTr="00D43D0B">
        <w:tblPrEx>
          <w:tblW w:w="21292" w:type="dxa"/>
          <w:tblInd w:w="-176" w:type="dxa"/>
          <w:tblLayout w:type="fixed"/>
          <w:tblLook w:val="04A0"/>
        </w:tblPrEx>
        <w:trPr>
          <w:trHeight w:val="300"/>
        </w:trPr>
        <w:tc>
          <w:tcPr>
            <w:tcW w:w="2127" w:type="dxa"/>
            <w:tcBorders>
              <w:top w:val="single" w:sz="4" w:space="0" w:color="auto"/>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Public health &amp; wellbeing services</w:t>
            </w:r>
          </w:p>
        </w:tc>
        <w:tc>
          <w:tcPr>
            <w:tcW w:w="3544"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Commissioning and oversight of commissioned public health service provision</w:t>
            </w:r>
          </w:p>
        </w:tc>
        <w:tc>
          <w:tcPr>
            <w:tcW w:w="5812" w:type="dxa"/>
            <w:tcBorders>
              <w:top w:val="nil"/>
              <w:bottom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joint working with the NHS and voluntary sector to provide services within Lancashire.</w:t>
            </w:r>
          </w:p>
        </w:tc>
        <w:tc>
          <w:tcPr>
            <w:tcW w:w="297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nil"/>
              <w:bottom w:val="single" w:sz="4" w:space="0" w:color="auto"/>
            </w:tcBorders>
          </w:tcPr>
          <w:p w:rsidR="00485339" w:rsidRPr="00F80D53" w:rsidP="000055FC">
            <w:pPr>
              <w:spacing w:before="60" w:after="60" w:line="240" w:lineRule="auto"/>
              <w:rPr>
                <w:rFonts w:ascii="Arial" w:eastAsia="Times New Roman" w:hAnsi="Arial" w:cs="Arial"/>
                <w:color w:val="000000"/>
                <w:lang w:eastAsia="en-GB"/>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agreed</w:t>
            </w:r>
            <w:r>
              <w:rPr>
                <w:rFonts w:ascii="Arial" w:hAnsi="Arial" w:cs="Arial"/>
              </w:rPr>
              <w:t>, and testing of the controls in operation has been completed. Our findings are being considered but we ha</w:t>
            </w:r>
            <w:r>
              <w:rPr>
                <w:rFonts w:ascii="Arial" w:hAnsi="Arial" w:cs="Arial"/>
              </w:rPr>
              <w:t>ve not yet prepared our report.</w:t>
            </w:r>
          </w:p>
        </w:tc>
        <w:tc>
          <w:tcPr>
            <w:tcW w:w="1417"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D43D0B">
        <w:tblPrEx>
          <w:tblW w:w="21292" w:type="dxa"/>
          <w:tblInd w:w="-176" w:type="dxa"/>
          <w:tblLayout w:type="fixed"/>
          <w:tblLook w:val="04A0"/>
        </w:tblPrEx>
        <w:trPr>
          <w:trHeight w:val="300"/>
        </w:trPr>
        <w:tc>
          <w:tcPr>
            <w:tcW w:w="2127" w:type="dxa"/>
            <w:tcBorders>
              <w:top w:val="single" w:sz="4" w:space="0" w:color="auto"/>
              <w:bottom w:val="dashSmallGap"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Public health &amp; wellbeing services</w:t>
            </w: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Operation of the Health and Wellbeing</w:t>
            </w:r>
            <w:r w:rsidRPr="00534482">
              <w:rPr>
                <w:rFonts w:ascii="Arial" w:eastAsia="Times New Roman" w:hAnsi="Arial" w:cs="Arial"/>
                <w:color w:val="000000"/>
                <w:lang w:eastAsia="en-GB"/>
              </w:rPr>
              <w:t xml:space="preserve"> Board</w:t>
            </w:r>
          </w:p>
        </w:tc>
        <w:tc>
          <w:tcPr>
            <w:tcW w:w="5812" w:type="dxa"/>
            <w:tcBorders>
              <w:bottom w:val="dashSmallGap"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constitution and operation of the Board against professional guidance, local requirements and current best practice,</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485339" w:rsidRPr="00534482" w:rsidP="000055FC">
            <w:pPr>
              <w:spacing w:before="60" w:after="60" w:line="240" w:lineRule="auto"/>
              <w:rPr>
                <w:rFonts w:ascii="Arial" w:eastAsia="Times New Roman" w:hAnsi="Arial" w:cs="Arial"/>
                <w:color w:val="000000"/>
                <w:lang w:eastAsia="en-GB"/>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agreed</w:t>
            </w:r>
            <w:r>
              <w:rPr>
                <w:rFonts w:ascii="Arial" w:hAnsi="Arial" w:cs="Arial"/>
              </w:rPr>
              <w:t xml:space="preserve"> and testing of the controls in operation has been completed. Our findings are being considered but we ha</w:t>
            </w:r>
            <w:r>
              <w:rPr>
                <w:rFonts w:ascii="Arial" w:hAnsi="Arial" w:cs="Arial"/>
              </w:rPr>
              <w:t>ve not yet prepared our report.</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dashSmallGap"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with Corporate commissioning</w:t>
            </w:r>
          </w:p>
        </w:tc>
        <w:tc>
          <w:tcPr>
            <w:tcW w:w="3544" w:type="dxa"/>
            <w:tcBorders>
              <w:top w:val="nil"/>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Operation of the Better Care Fund</w:t>
            </w:r>
          </w:p>
        </w:tc>
        <w:tc>
          <w:tcPr>
            <w:tcW w:w="5812" w:type="dxa"/>
            <w:tcBorders>
              <w:top w:val="dashSmallGap"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Including assessment of the governance arrangements fo</w:t>
            </w:r>
            <w:r w:rsidRPr="00534482">
              <w:rPr>
                <w:rFonts w:ascii="Arial" w:eastAsia="Times New Roman" w:hAnsi="Arial" w:cs="Arial"/>
                <w:color w:val="000000"/>
                <w:lang w:eastAsia="en-GB"/>
              </w:rPr>
              <w:t>r the council's use of the Better Care Fund.</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left w:val="single" w:sz="4" w:space="0" w:color="auto"/>
              <w:bottom w:val="single" w:sz="4" w:space="0" w:color="auto"/>
              <w:right w:val="single" w:sz="4" w:space="0" w:color="auto"/>
            </w:tcBorders>
          </w:tcPr>
          <w:p w:rsidR="00485339" w:rsidRPr="00534482" w:rsidP="000055FC">
            <w:pPr>
              <w:spacing w:before="60" w:after="60" w:line="240" w:lineRule="auto"/>
              <w:rPr>
                <w:rFonts w:ascii="Arial" w:eastAsia="Times New Roman" w:hAnsi="Arial" w:cs="Arial"/>
                <w:color w:val="000000"/>
                <w:lang w:eastAsia="en-GB"/>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agreed</w:t>
            </w:r>
            <w:r>
              <w:rPr>
                <w:rFonts w:ascii="Arial" w:hAnsi="Arial" w:cs="Arial"/>
              </w:rPr>
              <w:t>, and testing of the controls in operation has been completed. Our findings are being considered but we ha</w:t>
            </w:r>
            <w:r>
              <w:rPr>
                <w:rFonts w:ascii="Arial" w:hAnsi="Arial" w:cs="Arial"/>
              </w:rPr>
              <w:t xml:space="preserve">ve not yet </w:t>
            </w:r>
            <w:r>
              <w:rPr>
                <w:rFonts w:ascii="Arial" w:hAnsi="Arial" w:cs="Arial"/>
              </w:rPr>
              <w:t>prepared our report.</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Corporate commissioning</w:t>
            </w: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Commissioning, design and monitoring of the capital programme</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Risk and control evaluation of the revised procedures to oversee the whole capital programme, including elements managed by the council for the </w:t>
            </w:r>
            <w:r w:rsidRPr="00534482">
              <w:rPr>
                <w:rFonts w:ascii="Arial" w:eastAsia="Times New Roman" w:hAnsi="Arial" w:cs="Arial"/>
                <w:lang w:eastAsia="en-GB"/>
              </w:rPr>
              <w:t>Lancashire Economic Partnership.</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r w:rsidRPr="0010682C">
              <w:rPr>
                <w:rFonts w:ascii="Arial" w:eastAsia="Times New Roman" w:hAnsi="Arial" w:cs="Arial"/>
                <w:lang w:eastAsia="en-GB"/>
              </w:rPr>
              <w:t xml:space="preserve">We have </w:t>
            </w:r>
            <w:r>
              <w:rPr>
                <w:rFonts w:ascii="Arial" w:eastAsia="Times New Roman" w:hAnsi="Arial" w:cs="Arial"/>
                <w:lang w:eastAsia="en-GB"/>
              </w:rPr>
              <w:t>begun to scope this audit but further work is necessary and the introduction of the new suite of systems has temporarily delayed this.</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4A7C4D">
        <w:tblPrEx>
          <w:tblW w:w="21292" w:type="dxa"/>
          <w:tblInd w:w="-176" w:type="dxa"/>
          <w:tblLayout w:type="fixed"/>
          <w:tblLook w:val="04A0"/>
        </w:tblPrEx>
        <w:trPr>
          <w:trHeight w:val="300"/>
        </w:trPr>
        <w:tc>
          <w:tcPr>
            <w:tcW w:w="2127" w:type="dxa"/>
            <w:tcBorders>
              <w:top w:val="nil"/>
              <w:left w:val="single" w:sz="4" w:space="0" w:color="auto"/>
              <w:bottom w:val="nil"/>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Provision of school places</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Risk and control evaluation of the </w:t>
            </w:r>
            <w:r>
              <w:rPr>
                <w:rFonts w:ascii="Arial" w:eastAsia="Times New Roman" w:hAnsi="Arial" w:cs="Arial"/>
                <w:lang w:eastAsia="en-GB"/>
              </w:rPr>
              <w:t>provision</w:t>
            </w:r>
            <w:r w:rsidRPr="00534482">
              <w:rPr>
                <w:rFonts w:ascii="Arial" w:eastAsia="Times New Roman" w:hAnsi="Arial" w:cs="Arial"/>
                <w:lang w:eastAsia="en-GB"/>
              </w:rPr>
              <w:t xml:space="preserve"> of school places.</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Coverage of controls across the organisation</w:t>
            </w:r>
          </w:p>
        </w:tc>
        <w:tc>
          <w:tcPr>
            <w:tcW w:w="5416" w:type="dxa"/>
            <w:tcBorders>
              <w:top w:val="single" w:sz="4" w:space="0" w:color="auto"/>
              <w:left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work has begun: a risk and control framework has been developed for discussion with management, and detailed testing of the effectiveness of </w:t>
            </w:r>
            <w:r>
              <w:rPr>
                <w:rFonts w:ascii="Arial" w:eastAsia="Times New Roman" w:hAnsi="Arial" w:cs="Arial"/>
                <w:lang w:eastAsia="en-GB"/>
              </w:rPr>
              <w:t>controls is scheduled to start in October.</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534482">
        <w:tblPrEx>
          <w:tblW w:w="21292" w:type="dxa"/>
          <w:tblInd w:w="-176" w:type="dxa"/>
          <w:tblLayout w:type="fixed"/>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Operation of the Premises Compliance Team in strategic premises management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risk and controls in relation to the council's property assets.</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10682C">
              <w:rPr>
                <w:rFonts w:ascii="Arial" w:eastAsia="Times New Roman" w:hAnsi="Arial" w:cs="Arial"/>
                <w:lang w:eastAsia="en-GB"/>
              </w:rPr>
              <w:t xml:space="preserve">Work is </w:t>
            </w:r>
            <w:r w:rsidRPr="0010682C">
              <w:rPr>
                <w:rFonts w:ascii="Arial" w:eastAsia="Times New Roman" w:hAnsi="Arial" w:cs="Arial"/>
                <w:lang w:eastAsia="en-GB"/>
              </w:rPr>
              <w:t>scheduled to start in October once the property strategy has been approved (</w:t>
            </w:r>
            <w:r>
              <w:rPr>
                <w:rFonts w:ascii="Arial" w:eastAsia="Times New Roman" w:hAnsi="Arial" w:cs="Arial"/>
                <w:lang w:eastAsia="en-GB"/>
              </w:rPr>
              <w:t xml:space="preserve">subject to </w:t>
            </w:r>
            <w:r w:rsidRPr="0010682C">
              <w:rPr>
                <w:rFonts w:ascii="Arial" w:eastAsia="Times New Roman" w:hAnsi="Arial" w:cs="Arial"/>
                <w:lang w:eastAsia="en-GB"/>
              </w:rPr>
              <w:t xml:space="preserve">any amendments </w:t>
            </w:r>
            <w:r w:rsidRPr="00477A87">
              <w:rPr>
                <w:rFonts w:ascii="Arial" w:eastAsia="Times New Roman" w:hAnsi="Arial" w:cs="Arial"/>
                <w:lang w:eastAsia="en-GB"/>
              </w:rPr>
              <w:t xml:space="preserve">following the public consultation) and compliance officers appointed. Given the change still going on in this area it is possible that the timing of this </w:t>
            </w:r>
            <w:r w:rsidRPr="00477A87">
              <w:rPr>
                <w:rFonts w:ascii="Arial" w:eastAsia="Times New Roman" w:hAnsi="Arial" w:cs="Arial"/>
                <w:lang w:eastAsia="en-GB"/>
              </w:rPr>
              <w:t>work may slip.</w:t>
            </w:r>
            <w:r>
              <w:rPr>
                <w:rFonts w:ascii="Arial" w:eastAsia="Times New Roman" w:hAnsi="Arial" w:cs="Arial"/>
                <w:color w:val="4472C4" w:themeColor="accent5"/>
                <w:lang w:eastAsia="en-GB"/>
              </w:rPr>
              <w:t xml:space="preserve"> </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Economic development</w:t>
            </w:r>
          </w:p>
        </w:tc>
        <w:tc>
          <w:tcPr>
            <w:tcW w:w="3544" w:type="dxa"/>
            <w:tcBorders>
              <w:bottom w:val="nil"/>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Lancashire Economic Partnership</w:t>
            </w:r>
            <w:r>
              <w:rPr>
                <w:rFonts w:ascii="Arial" w:eastAsia="Times New Roman" w:hAnsi="Arial" w:cs="Arial"/>
                <w:color w:val="000000"/>
                <w:lang w:eastAsia="en-GB"/>
              </w:rPr>
              <w:t xml:space="preserve"> (LEP)</w:t>
            </w:r>
            <w:r w:rsidRPr="00534482">
              <w:rPr>
                <w:rFonts w:ascii="Arial" w:eastAsia="Times New Roman" w:hAnsi="Arial" w:cs="Arial"/>
                <w:color w:val="000000"/>
                <w:lang w:eastAsia="en-GB"/>
              </w:rPr>
              <w:t>: governance and accountability</w:t>
            </w:r>
          </w:p>
        </w:tc>
        <w:tc>
          <w:tcPr>
            <w:tcW w:w="5812" w:type="dxa"/>
            <w:shd w:val="clear" w:color="auto" w:fill="auto"/>
            <w:noWrap/>
            <w:hideMark/>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the constitution and operation of the Partnership against guidance and local requirements, to ensure the success of the partnership an</w:t>
            </w:r>
            <w:r w:rsidRPr="00534482">
              <w:rPr>
                <w:rFonts w:ascii="Arial" w:eastAsia="Times New Roman" w:hAnsi="Arial" w:cs="Arial"/>
                <w:lang w:eastAsia="en-GB"/>
              </w:rPr>
              <w:t>d the effective use of its individual funding streams (Lancashire Enterprise Zone, City Deal, Boost Business Lancashire, Growing Places Fund, Growth Deal Programme).</w:t>
            </w:r>
          </w:p>
        </w:tc>
        <w:tc>
          <w:tcPr>
            <w:tcW w:w="2976" w:type="dxa"/>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Pr>
          <w:p w:rsidR="00485339" w:rsidRPr="00534482" w:rsidP="00153E4D">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This work is complete and a draft report is being </w:t>
            </w:r>
            <w:r>
              <w:rPr>
                <w:rFonts w:ascii="Arial" w:eastAsia="Times New Roman" w:hAnsi="Arial" w:cs="Arial"/>
                <w:color w:val="000000"/>
                <w:lang w:eastAsia="en-GB"/>
              </w:rPr>
              <w:t>discussed with management, but the findings can be reported and are included in the narrative above.</w:t>
            </w:r>
          </w:p>
        </w:tc>
        <w:tc>
          <w:tcPr>
            <w:tcW w:w="1417" w:type="dxa"/>
          </w:tcPr>
          <w:p w:rsidR="00485339" w:rsidRPr="00153E4D" w:rsidP="00485339">
            <w:pPr>
              <w:spacing w:before="60" w:after="60" w:line="240" w:lineRule="auto"/>
              <w:rPr>
                <w:rFonts w:ascii="Arial" w:eastAsia="Times New Roman" w:hAnsi="Arial" w:cs="Arial"/>
                <w:lang w:eastAsia="en-GB"/>
              </w:rPr>
            </w:pPr>
            <w:r w:rsidRPr="00153E4D">
              <w:rPr>
                <w:rFonts w:ascii="Arial" w:eastAsia="Times New Roman" w:hAnsi="Arial" w:cs="Arial"/>
                <w:lang w:eastAsia="en-GB"/>
              </w:rPr>
              <w:t>Substantial</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nil"/>
            </w:tcBorders>
          </w:tcPr>
          <w:p w:rsidR="00485339" w:rsidRPr="00534482" w:rsidP="00485339">
            <w:pPr>
              <w:spacing w:before="60" w:after="60" w:line="240" w:lineRule="auto"/>
              <w:rPr>
                <w:rFonts w:ascii="Arial" w:eastAsia="Times New Roman" w:hAnsi="Arial" w:cs="Arial"/>
                <w:color w:val="000000"/>
                <w:lang w:eastAsia="en-GB"/>
              </w:rPr>
            </w:pPr>
          </w:p>
        </w:tc>
        <w:tc>
          <w:tcPr>
            <w:tcW w:w="5812" w:type="dxa"/>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Establish and assess the assurance framework for the programme, including assurance available from other areas of audit work and any work by other organisations. </w:t>
            </w:r>
          </w:p>
        </w:tc>
        <w:tc>
          <w:tcPr>
            <w:tcW w:w="2976" w:type="dxa"/>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Maximising the value of audit work in other control areas</w:t>
            </w:r>
          </w:p>
        </w:tc>
        <w:tc>
          <w:tcPr>
            <w:tcW w:w="5416" w:type="dxa"/>
          </w:tcPr>
          <w:p w:rsidR="00485339" w:rsidRPr="00424044" w:rsidP="006B401F">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has been addressed at the same time as the work on the LEP's governance and accountability as it is closely related. </w:t>
            </w:r>
            <w:r w:rsidRPr="00580C89">
              <w:rPr>
                <w:rFonts w:ascii="Arial" w:eastAsia="Times New Roman" w:hAnsi="Arial" w:cs="Arial"/>
                <w:lang w:eastAsia="en-GB"/>
              </w:rPr>
              <w:t>An audit was undertaken by the North West Office of the Department for Business, Innovation and Skills in early 2016</w:t>
            </w:r>
            <w:r>
              <w:rPr>
                <w:rFonts w:ascii="Arial" w:eastAsia="Times New Roman" w:hAnsi="Arial" w:cs="Arial"/>
                <w:lang w:eastAsia="en-GB"/>
              </w:rPr>
              <w:t>, which found only</w:t>
            </w:r>
            <w:r>
              <w:rPr>
                <w:rFonts w:ascii="Arial" w:eastAsia="Times New Roman" w:hAnsi="Arial" w:cs="Arial"/>
                <w:lang w:eastAsia="en-GB"/>
              </w:rPr>
              <w:t xml:space="preserve"> two insignificant administrative issues.</w:t>
            </w:r>
          </w:p>
        </w:tc>
        <w:tc>
          <w:tcPr>
            <w:tcW w:w="1417" w:type="dxa"/>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4482">
        <w:tblPrEx>
          <w:tblW w:w="21292" w:type="dxa"/>
          <w:tblInd w:w="-176" w:type="dxa"/>
          <w:tblLayout w:type="fixed"/>
          <w:tblLook w:val="04A0"/>
        </w:tblPrEx>
        <w:trPr>
          <w:trHeight w:val="300"/>
        </w:trPr>
        <w:tc>
          <w:tcPr>
            <w:tcW w:w="2127" w:type="dxa"/>
            <w:tcBorders>
              <w:top w:val="single" w:sz="4" w:space="0" w:color="auto"/>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Local Growth Fund certification</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W</w:t>
            </w:r>
            <w:r>
              <w:rPr>
                <w:rFonts w:ascii="Arial" w:eastAsia="Times New Roman" w:hAnsi="Arial" w:cs="Arial"/>
                <w:color w:val="000000"/>
                <w:lang w:eastAsia="en-GB"/>
              </w:rPr>
              <w:t>e have certified that the Department for Communities and Local Government's requirements in respect of Growth Deal funding have been met.</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w:t>
            </w:r>
            <w:r w:rsidRPr="00534482">
              <w:rPr>
                <w:rFonts w:ascii="Arial" w:eastAsia="Times New Roman" w:hAnsi="Arial" w:cs="Arial"/>
                <w:color w:val="000000"/>
                <w:lang w:eastAsia="en-GB"/>
              </w:rPr>
              <w:t xml:space="preserve"> funding terms</w:t>
            </w:r>
          </w:p>
        </w:tc>
        <w:tc>
          <w:tcPr>
            <w:tcW w:w="5416" w:type="dxa"/>
            <w:tcBorders>
              <w:bottom w:val="single" w:sz="4" w:space="0" w:color="auto"/>
            </w:tcBorders>
          </w:tcPr>
          <w:p w:rsidR="00485339" w:rsidRPr="00F80444" w:rsidP="00485339">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council's use of </w:t>
            </w:r>
            <w:r>
              <w:rPr>
                <w:rFonts w:ascii="Arial" w:eastAsia="Times New Roman" w:hAnsi="Arial" w:cs="Arial"/>
                <w:color w:val="000000"/>
                <w:lang w:eastAsia="en-GB"/>
              </w:rPr>
              <w:t xml:space="preserve">£39.35 million of </w:t>
            </w:r>
            <w:r>
              <w:rPr>
                <w:rFonts w:ascii="Arial" w:eastAsia="Times New Roman" w:hAnsi="Arial" w:cs="Arial"/>
                <w:lang w:eastAsia="en-GB"/>
              </w:rPr>
              <w:t xml:space="preserve">grant </w:t>
            </w:r>
            <w:r w:rsidRPr="00534482">
              <w:rPr>
                <w:rFonts w:ascii="Arial" w:eastAsia="Times New Roman" w:hAnsi="Arial" w:cs="Arial"/>
                <w:color w:val="000000"/>
                <w:lang w:eastAsia="en-GB"/>
              </w:rPr>
              <w:t xml:space="preserve">funding </w:t>
            </w:r>
            <w:r>
              <w:rPr>
                <w:rFonts w:ascii="Arial" w:eastAsia="Times New Roman" w:hAnsi="Arial" w:cs="Arial"/>
                <w:color w:val="000000"/>
                <w:lang w:eastAsia="en-GB"/>
              </w:rPr>
              <w:t xml:space="preserve">under the Local Growth Fund </w:t>
            </w:r>
            <w:r>
              <w:rPr>
                <w:rFonts w:ascii="Arial" w:eastAsia="Times New Roman" w:hAnsi="Arial" w:cs="Arial"/>
                <w:lang w:eastAsia="en-GB"/>
              </w:rPr>
              <w:t>has been certified as meeting the conditions of that funding.</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E0ACE">
        <w:tblPrEx>
          <w:tblW w:w="21292" w:type="dxa"/>
          <w:tblInd w:w="-176" w:type="dxa"/>
          <w:tblLayout w:type="fixed"/>
          <w:tblLook w:val="04A0"/>
        </w:tblPrEx>
        <w:trPr>
          <w:trHeight w:val="300"/>
        </w:trPr>
        <w:tc>
          <w:tcPr>
            <w:tcW w:w="2127" w:type="dxa"/>
            <w:tcBorders>
              <w:top w:val="single" w:sz="4" w:space="0" w:color="auto"/>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Emergency planning</w:t>
            </w: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Adequacy of the plans in place to address emergencies and civil</w:t>
            </w:r>
            <w:r w:rsidRPr="00534482">
              <w:rPr>
                <w:rFonts w:ascii="Arial" w:eastAsia="Times New Roman" w:hAnsi="Arial" w:cs="Arial"/>
                <w:color w:val="000000"/>
                <w:lang w:eastAsia="en-GB"/>
              </w:rPr>
              <w:t xml:space="preserve"> contingencies</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adequacy of emergency planning, including involvement of appropriate partners and adequacy of testing.</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485339" w:rsidRPr="00FB6A5A" w:rsidP="00485339">
            <w:pPr>
              <w:spacing w:before="60" w:after="60" w:line="240" w:lineRule="auto"/>
              <w:rPr>
                <w:rFonts w:ascii="Arial" w:eastAsia="Times New Roman" w:hAnsi="Arial" w:cs="Arial"/>
                <w:lang w:eastAsia="en-GB"/>
              </w:rPr>
            </w:pPr>
            <w:r w:rsidRPr="00F80444">
              <w:rPr>
                <w:rFonts w:ascii="Arial" w:eastAsia="Times New Roman" w:hAnsi="Arial" w:cs="Arial"/>
                <w:lang w:eastAsia="en-GB"/>
              </w:rPr>
              <w:t>A risk and control framework has been developed and discussed w</w:t>
            </w:r>
            <w:r w:rsidRPr="00F80444">
              <w:rPr>
                <w:rFonts w:ascii="Arial" w:eastAsia="Times New Roman" w:hAnsi="Arial" w:cs="Arial"/>
                <w:lang w:eastAsia="en-GB"/>
              </w:rPr>
              <w:t>ith the audit sponsor</w:t>
            </w:r>
            <w:r>
              <w:rPr>
                <w:rFonts w:ascii="Arial" w:eastAsia="Times New Roman" w:hAnsi="Arial" w:cs="Arial"/>
                <w:lang w:eastAsia="en-GB"/>
              </w:rPr>
              <w:t>, and this audit is now under way.</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E0ACE">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Pension fund administration</w:t>
            </w:r>
          </w:p>
        </w:tc>
        <w:tc>
          <w:tcPr>
            <w:tcW w:w="3544"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Administration of the fund to serve its members</w:t>
            </w:r>
          </w:p>
        </w:tc>
        <w:tc>
          <w:tcPr>
            <w:tcW w:w="5812" w:type="dxa"/>
            <w:tcBorders>
              <w:top w:val="nil"/>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and control evaluation, with annual compliance testing, whilst the council has no other source of assurance over </w:t>
            </w:r>
            <w:r w:rsidRPr="00534482">
              <w:rPr>
                <w:rFonts w:ascii="Arial" w:eastAsia="Times New Roman" w:hAnsi="Arial" w:cs="Arial"/>
                <w:color w:val="000000"/>
                <w:lang w:eastAsia="en-GB"/>
              </w:rPr>
              <w:t>this.</w:t>
            </w:r>
          </w:p>
        </w:tc>
        <w:tc>
          <w:tcPr>
            <w:tcW w:w="297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significant risks in a number of individual instances</w:t>
            </w:r>
          </w:p>
        </w:tc>
        <w:tc>
          <w:tcPr>
            <w:tcW w:w="541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is scheduled to start in November.</w:t>
            </w:r>
          </w:p>
        </w:tc>
        <w:tc>
          <w:tcPr>
            <w:tcW w:w="1417"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Accounting for the fund</w:t>
            </w:r>
          </w:p>
        </w:tc>
        <w:tc>
          <w:tcPr>
            <w:tcW w:w="5812" w:type="dxa"/>
            <w:tcBorders>
              <w:top w:val="nil"/>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and control evaluation, with annual compliance testing, whilst the council has no other source of </w:t>
            </w:r>
            <w:r w:rsidRPr="00534482">
              <w:rPr>
                <w:rFonts w:ascii="Arial" w:eastAsia="Times New Roman" w:hAnsi="Arial" w:cs="Arial"/>
                <w:color w:val="000000"/>
                <w:lang w:eastAsia="en-GB"/>
              </w:rPr>
              <w:t>assurance over this.</w:t>
            </w:r>
          </w:p>
        </w:tc>
        <w:tc>
          <w:tcPr>
            <w:tcW w:w="297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is scheduled to start in November.</w:t>
            </w:r>
          </w:p>
        </w:tc>
        <w:tc>
          <w:tcPr>
            <w:tcW w:w="1417"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E0ACE">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Pension fund administration</w:t>
            </w: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Fund investment management</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with management of the assurance framework and available assurance over the Fund's investments.</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Controls to </w:t>
            </w:r>
            <w:r w:rsidRPr="00534482">
              <w:rPr>
                <w:rFonts w:ascii="Arial" w:eastAsia="Times New Roman" w:hAnsi="Arial" w:cs="Arial"/>
                <w:color w:val="000000"/>
                <w:lang w:eastAsia="en-GB"/>
              </w:rPr>
              <w:t>mitigate a significant risk</w:t>
            </w:r>
          </w:p>
        </w:tc>
        <w:tc>
          <w:tcPr>
            <w:tcW w:w="541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is scheduled to start in November.</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983ABB" w:rsidRPr="005E0ACE" w:rsidP="00485339">
            <w:pPr>
              <w:spacing w:before="60" w:after="60" w:line="240" w:lineRule="auto"/>
              <w:rPr>
                <w:rFonts w:ascii="Arial" w:eastAsia="Times New Roman" w:hAnsi="Arial" w:cs="Arial"/>
                <w:lang w:eastAsia="en-GB"/>
              </w:rPr>
            </w:pPr>
          </w:p>
        </w:tc>
        <w:tc>
          <w:tcPr>
            <w:tcW w:w="3544" w:type="dxa"/>
            <w:tcBorders>
              <w:bottom w:val="single" w:sz="4" w:space="0" w:color="auto"/>
            </w:tcBorders>
          </w:tcPr>
          <w:p w:rsidR="00983ABB" w:rsidRPr="005E0ACE" w:rsidP="00485339">
            <w:pPr>
              <w:spacing w:before="60" w:after="60" w:line="240" w:lineRule="auto"/>
              <w:rPr>
                <w:rFonts w:ascii="Arial" w:eastAsia="Times New Roman" w:hAnsi="Arial" w:cs="Arial"/>
                <w:lang w:eastAsia="en-GB"/>
              </w:rPr>
            </w:pPr>
            <w:r w:rsidRPr="005E0ACE">
              <w:rPr>
                <w:rFonts w:ascii="Arial" w:eastAsia="Times New Roman" w:hAnsi="Arial" w:cs="Arial"/>
                <w:lang w:eastAsia="en-GB"/>
              </w:rPr>
              <w:t>Fund investment manageme</w:t>
            </w:r>
            <w:bookmarkStart w:id="0" w:name="_GoBack"/>
            <w:bookmarkEnd w:id="0"/>
            <w:r w:rsidRPr="005E0ACE">
              <w:rPr>
                <w:rFonts w:ascii="Arial" w:eastAsia="Times New Roman" w:hAnsi="Arial" w:cs="Arial"/>
                <w:lang w:eastAsia="en-GB"/>
              </w:rPr>
              <w:t>nt</w:t>
            </w:r>
          </w:p>
        </w:tc>
        <w:tc>
          <w:tcPr>
            <w:tcW w:w="5812" w:type="dxa"/>
            <w:tcBorders>
              <w:bottom w:val="single" w:sz="4" w:space="0" w:color="auto"/>
            </w:tcBorders>
            <w:shd w:val="clear" w:color="auto" w:fill="auto"/>
            <w:noWrap/>
          </w:tcPr>
          <w:p w:rsidR="00983ABB" w:rsidRPr="005E0ACE" w:rsidP="005E0ACE">
            <w:pPr>
              <w:spacing w:before="60" w:after="60" w:line="240" w:lineRule="auto"/>
              <w:rPr>
                <w:rFonts w:ascii="Arial" w:eastAsia="Times New Roman" w:hAnsi="Arial" w:cs="Arial"/>
                <w:lang w:eastAsia="en-GB"/>
              </w:rPr>
            </w:pPr>
            <w:r w:rsidRPr="005E0ACE">
              <w:rPr>
                <w:rFonts w:ascii="Arial" w:eastAsia="Times New Roman" w:hAnsi="Arial" w:cs="Arial"/>
                <w:lang w:eastAsia="en-GB"/>
              </w:rPr>
              <w:t xml:space="preserve">Follow-up of actions </w:t>
            </w:r>
            <w:r w:rsidRPr="005E0ACE">
              <w:rPr>
                <w:rFonts w:ascii="Arial" w:eastAsia="Times New Roman" w:hAnsi="Arial" w:cs="Arial"/>
                <w:lang w:eastAsia="en-GB"/>
              </w:rPr>
              <w:t xml:space="preserve">agreed </w:t>
            </w:r>
            <w:r w:rsidRPr="005E0ACE">
              <w:rPr>
                <w:rFonts w:ascii="Arial" w:eastAsia="Times New Roman" w:hAnsi="Arial" w:cs="Arial"/>
                <w:lang w:eastAsia="en-GB"/>
              </w:rPr>
              <w:t xml:space="preserve">in relation to </w:t>
            </w:r>
            <w:r w:rsidRPr="005E0ACE">
              <w:rPr>
                <w:rFonts w:ascii="Arial" w:eastAsia="Times New Roman" w:hAnsi="Arial" w:cs="Arial"/>
                <w:lang w:eastAsia="en-GB"/>
              </w:rPr>
              <w:t xml:space="preserve">monitoring </w:t>
            </w:r>
            <w:r w:rsidRPr="005E0ACE">
              <w:rPr>
                <w:rFonts w:ascii="Arial" w:eastAsia="Times New Roman" w:hAnsi="Arial" w:cs="Arial"/>
                <w:lang w:eastAsia="en-GB"/>
              </w:rPr>
              <w:t xml:space="preserve">the </w:t>
            </w:r>
            <w:r w:rsidRPr="005E0ACE">
              <w:rPr>
                <w:rFonts w:ascii="Arial" w:eastAsia="Times New Roman" w:hAnsi="Arial" w:cs="Arial"/>
                <w:lang w:eastAsia="en-GB"/>
              </w:rPr>
              <w:t xml:space="preserve">performance of the </w:t>
            </w:r>
            <w:r w:rsidRPr="005E0ACE">
              <w:rPr>
                <w:rFonts w:ascii="Arial" w:eastAsia="Times New Roman" w:hAnsi="Arial" w:cs="Arial"/>
                <w:lang w:eastAsia="en-GB"/>
              </w:rPr>
              <w:t>Pension Fund's</w:t>
            </w:r>
            <w:r w:rsidRPr="005E0ACE">
              <w:rPr>
                <w:rFonts w:ascii="Arial" w:eastAsia="Times New Roman" w:hAnsi="Arial" w:cs="Arial"/>
                <w:lang w:eastAsia="en-GB"/>
              </w:rPr>
              <w:t xml:space="preserve"> investments</w:t>
            </w:r>
            <w:r w:rsidRPr="005E0ACE">
              <w:rPr>
                <w:rFonts w:ascii="Arial" w:eastAsia="Times New Roman" w:hAnsi="Arial" w:cs="Arial"/>
                <w:lang w:eastAsia="en-GB"/>
              </w:rPr>
              <w:t>.</w:t>
            </w:r>
          </w:p>
        </w:tc>
        <w:tc>
          <w:tcPr>
            <w:tcW w:w="2976" w:type="dxa"/>
            <w:tcBorders>
              <w:bottom w:val="single" w:sz="4" w:space="0" w:color="auto"/>
            </w:tcBorders>
          </w:tcPr>
          <w:p w:rsidR="00983ABB" w:rsidRPr="005E0ACE" w:rsidP="00485339">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Follow-up as required by professional standards</w:t>
            </w:r>
          </w:p>
        </w:tc>
        <w:tc>
          <w:tcPr>
            <w:tcW w:w="5416" w:type="dxa"/>
            <w:tcBorders>
              <w:bottom w:val="single" w:sz="4" w:space="0" w:color="auto"/>
            </w:tcBorders>
          </w:tcPr>
          <w:p w:rsidR="00983ABB" w:rsidRPr="005E0ACE" w:rsidP="00D43D0B">
            <w:pPr>
              <w:spacing w:before="60" w:after="60" w:line="240" w:lineRule="auto"/>
              <w:rPr>
                <w:rFonts w:ascii="Arial" w:eastAsia="Times New Roman" w:hAnsi="Arial" w:cs="Arial"/>
                <w:lang w:eastAsia="en-GB"/>
              </w:rPr>
            </w:pPr>
            <w:r w:rsidRPr="005E0ACE">
              <w:rPr>
                <w:rFonts w:ascii="Arial" w:eastAsia="Times New Roman" w:hAnsi="Arial" w:cs="Arial"/>
                <w:lang w:eastAsia="en-GB"/>
              </w:rPr>
              <w:t xml:space="preserve">Work </w:t>
            </w:r>
            <w:r>
              <w:rPr>
                <w:rFonts w:ascii="Arial" w:eastAsia="Times New Roman" w:hAnsi="Arial" w:cs="Arial"/>
                <w:lang w:eastAsia="en-GB"/>
              </w:rPr>
              <w:t>will take place in November with the other work on the Pension Fund.</w:t>
            </w:r>
          </w:p>
        </w:tc>
        <w:tc>
          <w:tcPr>
            <w:tcW w:w="1417" w:type="dxa"/>
            <w:tcBorders>
              <w:bottom w:val="single" w:sz="4" w:space="0" w:color="auto"/>
            </w:tcBorders>
          </w:tcPr>
          <w:p w:rsidR="00983ABB" w:rsidRPr="005E0ACE" w:rsidP="00485339">
            <w:pPr>
              <w:spacing w:before="60" w:after="60" w:line="240" w:lineRule="auto"/>
              <w:rPr>
                <w:rFonts w:ascii="Arial" w:eastAsia="Times New Roman" w:hAnsi="Arial" w:cs="Arial"/>
                <w:lang w:eastAsia="en-GB"/>
              </w:rPr>
            </w:pPr>
          </w:p>
        </w:tc>
      </w:tr>
      <w:tr w:rsidTr="00534482">
        <w:tblPrEx>
          <w:tblW w:w="21292" w:type="dxa"/>
          <w:tblInd w:w="-176" w:type="dxa"/>
          <w:tblLayout w:type="fixed"/>
          <w:tblLook w:val="04A0"/>
        </w:tblPrEx>
        <w:trPr>
          <w:trHeight w:val="315"/>
        </w:trPr>
        <w:tc>
          <w:tcPr>
            <w:tcW w:w="2127" w:type="dxa"/>
            <w:tcBorders>
              <w:top w:val="single" w:sz="4" w:space="0" w:color="auto"/>
              <w:bottom w:val="single" w:sz="4" w:space="0" w:color="auto"/>
              <w:right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support</w:t>
            </w: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color w:val="000000"/>
                <w:lang w:eastAsia="en-GB"/>
              </w:rPr>
            </w:pP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c>
          <w:tcPr>
            <w:tcW w:w="541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Business systems</w:t>
            </w: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Monitoring of the contract with BTLS</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contract monitoring, with compliance testing.</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Coverage of controls across the </w:t>
            </w:r>
            <w:r w:rsidRPr="00534482">
              <w:rPr>
                <w:rFonts w:ascii="Arial" w:eastAsia="Times New Roman" w:hAnsi="Arial" w:cs="Arial"/>
                <w:color w:val="000000"/>
                <w:lang w:eastAsia="en-GB"/>
              </w:rPr>
              <w:t>organisation</w:t>
            </w:r>
          </w:p>
        </w:tc>
        <w:tc>
          <w:tcPr>
            <w:tcW w:w="5416" w:type="dxa"/>
            <w:tcBorders>
              <w:bottom w:val="single" w:sz="4" w:space="0" w:color="auto"/>
            </w:tcBorders>
          </w:tcPr>
          <w:p w:rsidR="00485339" w:rsidRPr="00FB6A5A" w:rsidP="00D43D0B">
            <w:pPr>
              <w:spacing w:before="60" w:after="60" w:line="240" w:lineRule="auto"/>
              <w:rPr>
                <w:rFonts w:ascii="Arial" w:eastAsia="Times New Roman" w:hAnsi="Arial" w:cs="Arial"/>
                <w:lang w:eastAsia="en-GB"/>
              </w:rPr>
            </w:pPr>
            <w:r>
              <w:rPr>
                <w:rFonts w:ascii="Arial" w:eastAsia="Times New Roman" w:hAnsi="Arial" w:cs="Arial"/>
                <w:lang w:eastAsia="en-GB"/>
              </w:rPr>
              <w:t xml:space="preserve">Work has begun with </w:t>
            </w:r>
            <w:r w:rsidRPr="009E7BE0">
              <w:rPr>
                <w:rFonts w:ascii="Arial" w:eastAsia="Times New Roman" w:hAnsi="Arial" w:cs="Arial"/>
                <w:lang w:eastAsia="en-GB"/>
              </w:rPr>
              <w:t xml:space="preserve">the </w:t>
            </w:r>
            <w:r>
              <w:rPr>
                <w:rFonts w:ascii="Arial" w:eastAsia="Times New Roman" w:hAnsi="Arial" w:cs="Arial"/>
                <w:lang w:eastAsia="en-GB"/>
              </w:rPr>
              <w:t>audit sponsor and key contact</w:t>
            </w:r>
            <w:r w:rsidRPr="009E7BE0">
              <w:rPr>
                <w:rFonts w:ascii="Arial" w:eastAsia="Times New Roman" w:hAnsi="Arial" w:cs="Arial"/>
                <w:lang w:eastAsia="en-GB"/>
              </w:rPr>
              <w:t xml:space="preserve"> and a risk and control framework </w:t>
            </w:r>
            <w:r>
              <w:rPr>
                <w:rFonts w:ascii="Arial" w:eastAsia="Times New Roman" w:hAnsi="Arial" w:cs="Arial"/>
                <w:lang w:eastAsia="en-GB"/>
              </w:rPr>
              <w:t xml:space="preserve">has been </w:t>
            </w:r>
            <w:r w:rsidRPr="009E7BE0">
              <w:rPr>
                <w:rFonts w:ascii="Arial" w:eastAsia="Times New Roman" w:hAnsi="Arial" w:cs="Arial"/>
                <w:lang w:eastAsia="en-GB"/>
              </w:rPr>
              <w:t>developed</w:t>
            </w:r>
            <w:r>
              <w:rPr>
                <w:rFonts w:ascii="Arial" w:eastAsia="Times New Roman" w:hAnsi="Arial" w:cs="Arial"/>
                <w:lang w:eastAsia="en-GB"/>
              </w:rPr>
              <w:t xml:space="preserve">. Work to establish and test the controls in place is now </w:t>
            </w:r>
            <w:r>
              <w:rPr>
                <w:rFonts w:ascii="Arial" w:eastAsia="Times New Roman" w:hAnsi="Arial" w:cs="Arial"/>
                <w:lang w:eastAsia="en-GB"/>
              </w:rPr>
              <w:t>under way</w:t>
            </w:r>
            <w:r>
              <w:rPr>
                <w:rFonts w:ascii="Arial" w:eastAsia="Times New Roman" w:hAnsi="Arial" w:cs="Arial"/>
                <w:lang w:eastAsia="en-GB"/>
              </w:rPr>
              <w:t>.</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15"/>
        </w:trPr>
        <w:tc>
          <w:tcPr>
            <w:tcW w:w="5671" w:type="dxa"/>
            <w:gridSpan w:val="2"/>
            <w:tcBorders>
              <w:right w:val="nil"/>
            </w:tcBorders>
            <w:shd w:val="clear" w:color="auto" w:fill="auto"/>
            <w:noWrap/>
            <w:hideMark/>
          </w:tcPr>
          <w:p w:rsidR="00485339" w:rsidRPr="00534482" w:rsidP="00485339">
            <w:pPr>
              <w:spacing w:before="60" w:after="60" w:line="240" w:lineRule="auto"/>
              <w:rPr>
                <w:rFonts w:ascii="Arial" w:eastAsia="Times New Roman" w:hAnsi="Arial" w:cs="Arial"/>
                <w:b/>
                <w:bCs/>
                <w:color w:val="000000"/>
                <w:lang w:eastAsia="en-GB"/>
              </w:rPr>
            </w:pPr>
            <w:r w:rsidRPr="00534482">
              <w:rPr>
                <w:rFonts w:ascii="Arial" w:eastAsia="Times New Roman" w:hAnsi="Arial" w:cs="Arial"/>
                <w:b/>
                <w:color w:val="000000"/>
                <w:lang w:eastAsia="en-GB"/>
              </w:rPr>
              <w:t>Business processes</w:t>
            </w:r>
          </w:p>
        </w:tc>
        <w:tc>
          <w:tcPr>
            <w:tcW w:w="5812" w:type="dxa"/>
            <w:tcBorders>
              <w:left w:val="nil"/>
              <w:right w:val="nil"/>
            </w:tcBorders>
            <w:shd w:val="clear" w:color="auto" w:fill="auto"/>
            <w:noWrap/>
            <w:hideMark/>
          </w:tcPr>
          <w:p w:rsidR="00485339" w:rsidRPr="00534482" w:rsidP="00485339">
            <w:pPr>
              <w:spacing w:before="60" w:after="60" w:line="240" w:lineRule="auto"/>
              <w:rPr>
                <w:rFonts w:ascii="Arial" w:eastAsia="Times New Roman" w:hAnsi="Arial" w:cs="Arial"/>
                <w:b/>
                <w:bCs/>
                <w:color w:val="000000"/>
                <w:lang w:eastAsia="en-GB"/>
              </w:rPr>
            </w:pPr>
          </w:p>
        </w:tc>
        <w:tc>
          <w:tcPr>
            <w:tcW w:w="2976" w:type="dxa"/>
            <w:tcBorders>
              <w:left w:val="nil"/>
              <w:right w:val="nil"/>
            </w:tcBorders>
          </w:tcPr>
          <w:p w:rsidR="00485339" w:rsidRPr="00534482" w:rsidP="00485339">
            <w:pPr>
              <w:spacing w:before="60" w:after="60" w:line="240" w:lineRule="auto"/>
              <w:rPr>
                <w:rFonts w:ascii="Arial" w:eastAsia="Times New Roman" w:hAnsi="Arial" w:cs="Arial"/>
                <w:b/>
                <w:bCs/>
                <w:color w:val="000000"/>
                <w:lang w:eastAsia="en-GB"/>
              </w:rPr>
            </w:pPr>
          </w:p>
        </w:tc>
        <w:tc>
          <w:tcPr>
            <w:tcW w:w="5416" w:type="dxa"/>
            <w:tcBorders>
              <w:left w:val="nil"/>
              <w:right w:val="nil"/>
            </w:tcBorders>
          </w:tcPr>
          <w:p w:rsidR="00485339" w:rsidRPr="00534482" w:rsidP="00485339">
            <w:pPr>
              <w:spacing w:before="60" w:after="60" w:line="240" w:lineRule="auto"/>
              <w:rPr>
                <w:rFonts w:ascii="Arial" w:eastAsia="Times New Roman" w:hAnsi="Arial" w:cs="Arial"/>
                <w:b/>
                <w:bCs/>
                <w:color w:val="000000"/>
                <w:lang w:eastAsia="en-GB"/>
              </w:rPr>
            </w:pPr>
          </w:p>
        </w:tc>
        <w:tc>
          <w:tcPr>
            <w:tcW w:w="1417" w:type="dxa"/>
            <w:tcBorders>
              <w:left w:val="nil"/>
              <w:right w:val="single" w:sz="4" w:space="0" w:color="auto"/>
            </w:tcBorders>
          </w:tcPr>
          <w:p w:rsidR="00485339" w:rsidRPr="00534482" w:rsidP="00485339">
            <w:pPr>
              <w:spacing w:before="60" w:after="60" w:line="240" w:lineRule="auto"/>
              <w:rPr>
                <w:rFonts w:ascii="Arial" w:eastAsia="Times New Roman" w:hAnsi="Arial" w:cs="Arial"/>
                <w:b/>
                <w:bCs/>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Financial processes</w:t>
            </w:r>
          </w:p>
        </w:tc>
        <w:tc>
          <w:tcPr>
            <w:tcW w:w="3544" w:type="dxa"/>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Treasury management</w:t>
            </w:r>
          </w:p>
        </w:tc>
        <w:tc>
          <w:tcPr>
            <w:tcW w:w="5812" w:type="dxa"/>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485339"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for</w:t>
            </w:r>
            <w:r>
              <w:rPr>
                <w:rFonts w:ascii="Arial" w:eastAsia="Times New Roman" w:hAnsi="Arial" w:cs="Arial"/>
                <w:color w:val="000000"/>
                <w:lang w:eastAsia="en-GB"/>
              </w:rPr>
              <w:t xml:space="preserve"> 2015/16 is now complete and a</w:t>
            </w:r>
            <w:r>
              <w:rPr>
                <w:rFonts w:ascii="Arial" w:eastAsia="Times New Roman" w:hAnsi="Arial" w:cs="Arial"/>
                <w:color w:val="000000"/>
                <w:lang w:eastAsia="en-GB"/>
              </w:rPr>
              <w:t xml:space="preserve"> report has been issued. The only significant (medium) risk exposure we identified is the lack of compliance with the requirement under </w:t>
            </w:r>
            <w:r w:rsidRPr="00DF02A4">
              <w:rPr>
                <w:rFonts w:ascii="Arial" w:eastAsia="Times New Roman" w:hAnsi="Arial" w:cs="Arial"/>
                <w:color w:val="000000"/>
                <w:lang w:eastAsia="en-GB"/>
              </w:rPr>
              <w:t>Treasury Management Practices</w:t>
            </w:r>
            <w:r>
              <w:rPr>
                <w:rFonts w:ascii="Arial" w:eastAsia="Times New Roman" w:hAnsi="Arial" w:cs="Arial"/>
                <w:color w:val="000000"/>
                <w:lang w:eastAsia="en-GB"/>
              </w:rPr>
              <w:t xml:space="preserve"> that all Audit and Governance Committee members are trained in their oversight role, and t</w:t>
            </w:r>
            <w:r>
              <w:rPr>
                <w:rFonts w:ascii="Arial" w:eastAsia="Times New Roman" w:hAnsi="Arial" w:cs="Arial"/>
                <w:color w:val="000000"/>
                <w:lang w:eastAsia="en-GB"/>
              </w:rPr>
              <w:t>he resulting potential for a lack of understanding amongst members of both that committee and the Cabinet.</w:t>
            </w:r>
          </w:p>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Further compliance testing for 2016/17 will be started in December.</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 for 2015/16</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Oracle general ledger</w:t>
            </w:r>
          </w:p>
        </w:tc>
        <w:tc>
          <w:tcPr>
            <w:tcW w:w="5812" w:type="dxa"/>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and control evaluation of </w:t>
            </w:r>
            <w:r w:rsidRPr="00534482">
              <w:rPr>
                <w:rFonts w:ascii="Arial" w:eastAsia="Times New Roman" w:hAnsi="Arial" w:cs="Arial"/>
                <w:color w:val="000000"/>
                <w:lang w:eastAsia="en-GB"/>
              </w:rPr>
              <w:t>the controls in place, with annual compliance testing.</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485339" w:rsidRPr="00983ABB" w:rsidP="00983ABB">
            <w:pPr>
              <w:spacing w:before="60" w:after="60" w:line="240" w:lineRule="auto"/>
              <w:rPr>
                <w:rFonts w:ascii="Arial" w:eastAsia="Times New Roman" w:hAnsi="Arial" w:cs="Arial"/>
                <w:lang w:eastAsia="en-GB"/>
              </w:rPr>
            </w:pPr>
            <w:r w:rsidRPr="00983ABB">
              <w:rPr>
                <w:rFonts w:ascii="Arial" w:eastAsia="Times New Roman" w:hAnsi="Arial" w:cs="Arial"/>
                <w:lang w:eastAsia="en-GB"/>
              </w:rPr>
              <w:t>This work will be scoped with the audit sponsor and heads of service shortly.</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receivable and debt management: central controls</w:t>
            </w:r>
          </w:p>
        </w:tc>
        <w:tc>
          <w:tcPr>
            <w:tcW w:w="5812" w:type="dxa"/>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and control </w:t>
            </w:r>
            <w:r w:rsidRPr="00534482">
              <w:rPr>
                <w:rFonts w:ascii="Arial" w:eastAsia="Times New Roman" w:hAnsi="Arial" w:cs="Arial"/>
                <w:color w:val="000000"/>
                <w:lang w:eastAsia="en-GB"/>
              </w:rPr>
              <w:t>evaluation of the controls in place, with annual compliance testing.</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485339" w:rsidRPr="00B05AE6" w:rsidP="00485339">
            <w:pPr>
              <w:spacing w:before="60" w:after="60" w:line="240" w:lineRule="auto"/>
              <w:rPr>
                <w:rFonts w:ascii="Arial" w:eastAsia="Times New Roman" w:hAnsi="Arial" w:cs="Arial"/>
                <w:lang w:eastAsia="en-GB"/>
              </w:rPr>
            </w:pPr>
            <w:r w:rsidRPr="00B44793">
              <w:rPr>
                <w:rFonts w:ascii="Arial" w:eastAsia="Times New Roman" w:hAnsi="Arial" w:cs="Arial"/>
                <w:lang w:eastAsia="en-GB"/>
              </w:rPr>
              <w:t xml:space="preserve">Work for 2016/17 incorporating testing of transactions processed in 2015/16 is now complete. </w:t>
            </w:r>
            <w:r>
              <w:rPr>
                <w:rFonts w:ascii="Arial" w:eastAsia="Times New Roman" w:hAnsi="Arial" w:cs="Arial"/>
                <w:lang w:eastAsia="en-GB"/>
              </w:rPr>
              <w:t>The actions agreed by the Finance Team will be impleme</w:t>
            </w:r>
            <w:r>
              <w:rPr>
                <w:rFonts w:ascii="Arial" w:eastAsia="Times New Roman" w:hAnsi="Arial" w:cs="Arial"/>
                <w:lang w:eastAsia="en-GB"/>
              </w:rPr>
              <w:t>nted during the remainder of 2016/17 and we do not intend to undertake any further work (including follow-up of the agreed actions) on this system during the rest of the year.</w:t>
            </w:r>
          </w:p>
        </w:tc>
        <w:tc>
          <w:tcPr>
            <w:tcW w:w="1417" w:type="dxa"/>
            <w:tcBorders>
              <w:bottom w:val="single" w:sz="4" w:space="0" w:color="auto"/>
            </w:tcBorders>
          </w:tcPr>
          <w:p w:rsidR="00485339" w:rsidRPr="00354CAA" w:rsidP="00485339">
            <w:pPr>
              <w:spacing w:before="60" w:after="60" w:line="240" w:lineRule="auto"/>
              <w:rPr>
                <w:rFonts w:ascii="Arial" w:eastAsia="Times New Roman" w:hAnsi="Arial" w:cs="Arial"/>
                <w:lang w:eastAsia="en-GB"/>
              </w:rPr>
            </w:pPr>
            <w:r w:rsidRPr="00354CAA">
              <w:rPr>
                <w:rFonts w:ascii="Arial" w:eastAsia="Times New Roman" w:hAnsi="Arial" w:cs="Arial"/>
                <w:lang w:eastAsia="en-GB"/>
              </w:rPr>
              <w:t>Limited</w:t>
            </w:r>
          </w:p>
        </w:tc>
      </w:tr>
      <w:tr w:rsidTr="00CA7795">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receivable and debt management: feeder system controls</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w:t>
            </w:r>
            <w:r w:rsidRPr="00534482">
              <w:rPr>
                <w:rFonts w:ascii="Arial" w:eastAsia="Times New Roman" w:hAnsi="Arial" w:cs="Arial"/>
                <w:color w:val="000000"/>
                <w:lang w:eastAsia="en-GB"/>
              </w:rPr>
              <w:t>and control evaluation of the controls in place, with annual compliance testing of a sample of feeder systems.</w:t>
            </w:r>
          </w:p>
        </w:tc>
        <w:tc>
          <w:tcPr>
            <w:tcW w:w="2976" w:type="dxa"/>
            <w:tcBorders>
              <w:top w:val="single" w:sz="4" w:space="0" w:color="auto"/>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B44793">
              <w:rPr>
                <w:rFonts w:ascii="Arial" w:eastAsia="Times New Roman" w:hAnsi="Arial" w:cs="Arial"/>
                <w:lang w:eastAsia="en-GB"/>
              </w:rPr>
              <w:t>Work is scheduled to start in November 2016.</w:t>
            </w:r>
          </w:p>
        </w:tc>
        <w:tc>
          <w:tcPr>
            <w:tcW w:w="1417" w:type="dxa"/>
            <w:tcBorders>
              <w:top w:val="single" w:sz="4" w:space="0" w:color="auto"/>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Cash and banking: central controls including checks over </w:t>
            </w:r>
            <w:r w:rsidRPr="00534482">
              <w:rPr>
                <w:rFonts w:ascii="Arial" w:eastAsia="Times New Roman" w:hAnsi="Arial" w:cs="Arial"/>
                <w:color w:val="000000"/>
                <w:lang w:eastAsia="en-GB"/>
              </w:rPr>
              <w:t>completeness and compliance in other locations</w:t>
            </w:r>
          </w:p>
        </w:tc>
        <w:tc>
          <w:tcPr>
            <w:tcW w:w="5812" w:type="dxa"/>
            <w:tcBorders>
              <w:top w:val="nil"/>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top w:val="nil"/>
              <w:bottom w:val="single" w:sz="4" w:space="0" w:color="auto"/>
            </w:tcBorders>
          </w:tcPr>
          <w:p w:rsidR="00485339" w:rsidRPr="00892952" w:rsidP="00485339">
            <w:pPr>
              <w:spacing w:before="60" w:after="60" w:line="240" w:lineRule="auto"/>
              <w:rPr>
                <w:rFonts w:ascii="Arial" w:eastAsia="Times New Roman" w:hAnsi="Arial" w:cs="Arial"/>
                <w:lang w:eastAsia="en-GB"/>
              </w:rPr>
            </w:pPr>
            <w:r w:rsidRPr="00892952">
              <w:rPr>
                <w:rFonts w:ascii="Arial" w:eastAsia="Times New Roman" w:hAnsi="Arial" w:cs="Arial"/>
                <w:lang w:eastAsia="en-GB"/>
              </w:rPr>
              <w:t>Controls to mitigate a significant risk</w:t>
            </w:r>
          </w:p>
        </w:tc>
        <w:tc>
          <w:tcPr>
            <w:tcW w:w="5416" w:type="dxa"/>
            <w:tcBorders>
              <w:top w:val="nil"/>
              <w:bottom w:val="single" w:sz="4" w:space="0" w:color="auto"/>
            </w:tcBorders>
          </w:tcPr>
          <w:p w:rsidR="00485339" w:rsidRPr="00892952" w:rsidP="00892952">
            <w:pPr>
              <w:spacing w:before="60" w:after="60" w:line="240" w:lineRule="auto"/>
              <w:rPr>
                <w:rFonts w:ascii="Arial" w:eastAsia="Times New Roman" w:hAnsi="Arial" w:cs="Arial"/>
                <w:lang w:eastAsia="en-GB"/>
              </w:rPr>
            </w:pPr>
            <w:r w:rsidRPr="00892952">
              <w:rPr>
                <w:rFonts w:ascii="Arial" w:eastAsia="Times New Roman" w:hAnsi="Arial" w:cs="Arial"/>
                <w:lang w:eastAsia="en-GB"/>
              </w:rPr>
              <w:t xml:space="preserve">Work for 2016/17 incorporating testing of transactions processed in 2015/16 is now </w:t>
            </w:r>
            <w:r w:rsidRPr="00892952">
              <w:rPr>
                <w:rFonts w:ascii="Arial" w:eastAsia="Times New Roman" w:hAnsi="Arial" w:cs="Arial"/>
                <w:lang w:eastAsia="en-GB"/>
              </w:rPr>
              <w:t>complete and we have concluded that the council's central cash receipt and allocation process is adequately designed and operating effectively.</w:t>
            </w:r>
          </w:p>
        </w:tc>
        <w:tc>
          <w:tcPr>
            <w:tcW w:w="1417" w:type="dxa"/>
            <w:tcBorders>
              <w:top w:val="nil"/>
              <w:bottom w:val="single" w:sz="4" w:space="0" w:color="auto"/>
            </w:tcBorders>
          </w:tcPr>
          <w:p w:rsidR="00485339" w:rsidRPr="00892952" w:rsidP="00485339">
            <w:pPr>
              <w:spacing w:before="60" w:after="60" w:line="240" w:lineRule="auto"/>
              <w:rPr>
                <w:rFonts w:ascii="Arial" w:eastAsia="Times New Roman" w:hAnsi="Arial" w:cs="Arial"/>
                <w:lang w:eastAsia="en-GB"/>
              </w:rPr>
            </w:pPr>
            <w:r w:rsidRPr="00892952">
              <w:rPr>
                <w:rFonts w:ascii="Arial" w:eastAsia="Times New Roman" w:hAnsi="Arial" w:cs="Arial"/>
                <w:lang w:eastAsia="en-GB"/>
              </w:rPr>
              <w:t>Substantial</w:t>
            </w:r>
          </w:p>
        </w:tc>
      </w:tr>
      <w:tr w:rsidTr="00CA7795">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payroll payments</w:t>
            </w:r>
          </w:p>
        </w:tc>
        <w:tc>
          <w:tcPr>
            <w:tcW w:w="5812" w:type="dxa"/>
            <w:tcBorders>
              <w:top w:val="nil"/>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council's monitoring and oversigh</w:t>
            </w:r>
            <w:r w:rsidRPr="00534482">
              <w:rPr>
                <w:rFonts w:ascii="Arial" w:eastAsia="Times New Roman" w:hAnsi="Arial" w:cs="Arial"/>
                <w:color w:val="000000"/>
                <w:lang w:eastAsia="en-GB"/>
              </w:rPr>
              <w:t>t of BTLS's processes, with annual compliance testing.</w:t>
            </w:r>
          </w:p>
        </w:tc>
        <w:tc>
          <w:tcPr>
            <w:tcW w:w="297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D43D0B">
              <w:rPr>
                <w:rFonts w:ascii="Arial" w:eastAsia="Times New Roman" w:hAnsi="Arial" w:cs="Arial"/>
                <w:lang w:eastAsia="en-GB"/>
              </w:rPr>
              <w:t>Work is scheduled to start in January 2017 including follow-up of actions agreed in 2015/16.</w:t>
            </w:r>
          </w:p>
        </w:tc>
        <w:tc>
          <w:tcPr>
            <w:tcW w:w="1417"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p>
        </w:tc>
        <w:tc>
          <w:tcPr>
            <w:tcW w:w="3544" w:type="dxa"/>
            <w:tcBorders>
              <w:top w:val="nil"/>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payable: central controls</w:t>
            </w:r>
          </w:p>
        </w:tc>
        <w:tc>
          <w:tcPr>
            <w:tcW w:w="5812" w:type="dxa"/>
            <w:tcBorders>
              <w:top w:val="nil"/>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w:t>
            </w:r>
            <w:r w:rsidRPr="00534482">
              <w:rPr>
                <w:rFonts w:ascii="Arial" w:eastAsia="Times New Roman" w:hAnsi="Arial" w:cs="Arial"/>
                <w:color w:val="000000"/>
                <w:lang w:eastAsia="en-GB"/>
              </w:rPr>
              <w:t xml:space="preserve"> the controls in place, with annual compliance testing.</w:t>
            </w:r>
          </w:p>
        </w:tc>
        <w:tc>
          <w:tcPr>
            <w:tcW w:w="2976" w:type="dxa"/>
            <w:tcBorders>
              <w:top w:val="nil"/>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bottom w:val="single" w:sz="4" w:space="0" w:color="auto"/>
            </w:tcBorders>
          </w:tcPr>
          <w:p w:rsidR="00983ABB" w:rsidRPr="00983ABB" w:rsidP="00983ABB">
            <w:pPr>
              <w:spacing w:before="60" w:after="60" w:line="240" w:lineRule="auto"/>
              <w:rPr>
                <w:rFonts w:ascii="Arial" w:eastAsia="Times New Roman" w:hAnsi="Arial" w:cs="Arial"/>
                <w:lang w:eastAsia="en-GB"/>
              </w:rPr>
            </w:pPr>
            <w:r w:rsidRPr="00983ABB">
              <w:rPr>
                <w:rFonts w:ascii="Arial" w:eastAsia="Times New Roman" w:hAnsi="Arial" w:cs="Arial"/>
                <w:lang w:eastAsia="en-GB"/>
              </w:rPr>
              <w:t>This work will be scoped with the audit sponsor and heads of service shortly.</w:t>
            </w:r>
          </w:p>
        </w:tc>
        <w:tc>
          <w:tcPr>
            <w:tcW w:w="1417" w:type="dxa"/>
            <w:tcBorders>
              <w:top w:val="nil"/>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VAT</w:t>
            </w:r>
          </w:p>
        </w:tc>
        <w:tc>
          <w:tcPr>
            <w:tcW w:w="5812" w:type="dxa"/>
            <w:tcBorders>
              <w:bottom w:val="sing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Risk and control evaluation of the controls in place, with periodic </w:t>
            </w:r>
            <w:r w:rsidRPr="00534482">
              <w:rPr>
                <w:rFonts w:ascii="Arial" w:eastAsia="Times New Roman" w:hAnsi="Arial" w:cs="Arial"/>
                <w:color w:val="000000"/>
                <w:lang w:eastAsia="en-GB"/>
              </w:rPr>
              <w:t>compliance testing.</w:t>
            </w:r>
          </w:p>
        </w:tc>
        <w:tc>
          <w:tcPr>
            <w:tcW w:w="2976" w:type="dxa"/>
            <w:tcBorders>
              <w:top w:val="single" w:sz="4" w:space="0" w:color="auto"/>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983ABB">
              <w:rPr>
                <w:rFonts w:ascii="Arial" w:eastAsia="Times New Roman" w:hAnsi="Arial" w:cs="Arial"/>
                <w:lang w:eastAsia="en-GB"/>
              </w:rPr>
              <w:t>Work, including follow-up of actions agreed in 2015/16 is scheduled to start in December.</w:t>
            </w:r>
          </w:p>
        </w:tc>
        <w:tc>
          <w:tcPr>
            <w:tcW w:w="1417" w:type="dxa"/>
            <w:tcBorders>
              <w:top w:val="single" w:sz="4" w:space="0" w:color="auto"/>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Investment</w:t>
            </w:r>
          </w:p>
        </w:tc>
        <w:tc>
          <w:tcPr>
            <w:tcW w:w="3544"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Implementation of the treasury management strategy, including refinancing the council's </w:t>
            </w:r>
            <w:r w:rsidRPr="00534482">
              <w:rPr>
                <w:rFonts w:ascii="Arial" w:eastAsia="Times New Roman" w:hAnsi="Arial" w:cs="Arial"/>
                <w:color w:val="000000"/>
                <w:lang w:eastAsia="en-GB"/>
              </w:rPr>
              <w:t>debt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testing of operational policies and procedures, and work with management to understand the nature of the representations being given to lenders and credit rating agencies.</w:t>
            </w:r>
          </w:p>
        </w:tc>
        <w:tc>
          <w:tcPr>
            <w:tcW w:w="2976"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is scheduled to start i</w:t>
            </w:r>
            <w:r>
              <w:rPr>
                <w:rFonts w:ascii="Arial" w:eastAsia="Times New Roman" w:hAnsi="Arial" w:cs="Arial"/>
                <w:color w:val="000000"/>
                <w:lang w:eastAsia="en-GB"/>
              </w:rPr>
              <w:t>n January 2017.</w:t>
            </w:r>
          </w:p>
        </w:tc>
        <w:tc>
          <w:tcPr>
            <w:tcW w:w="1417"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hideMark/>
          </w:tcPr>
          <w:p w:rsidR="00983ABB" w:rsidRPr="00534482" w:rsidP="00983ABB">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with borrowing limits and any other restrictions on investment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Evaluation of the in-service compliance programme and management's responses to its findings.</w:t>
            </w:r>
          </w:p>
        </w:tc>
        <w:tc>
          <w:tcPr>
            <w:tcW w:w="2976"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is scheduled to start in</w:t>
            </w:r>
            <w:r>
              <w:rPr>
                <w:rFonts w:ascii="Arial" w:eastAsia="Times New Roman" w:hAnsi="Arial" w:cs="Arial"/>
                <w:color w:val="000000"/>
                <w:lang w:eastAsia="en-GB"/>
              </w:rPr>
              <w:t xml:space="preserve"> January 2017.</w:t>
            </w:r>
          </w:p>
        </w:tc>
        <w:tc>
          <w:tcPr>
            <w:tcW w:w="1417" w:type="dxa"/>
            <w:tcBorders>
              <w:top w:val="single" w:sz="4" w:space="0" w:color="auto"/>
              <w:left w:val="single" w:sz="4" w:space="0" w:color="auto"/>
              <w:bottom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hideMark/>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Procurement</w:t>
            </w:r>
          </w:p>
        </w:tc>
        <w:tc>
          <w:tcPr>
            <w:tcW w:w="3544" w:type="dxa"/>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Central procurement: compliance with legislation, financial regulations and standing orders</w:t>
            </w:r>
          </w:p>
        </w:tc>
        <w:tc>
          <w:tcPr>
            <w:tcW w:w="5812" w:type="dxa"/>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w:t>
            </w:r>
          </w:p>
        </w:tc>
        <w:tc>
          <w:tcPr>
            <w:tcW w:w="2976" w:type="dxa"/>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Pr>
          <w:p w:rsidR="00983ABB" w:rsidRPr="00534482" w:rsidP="00983ABB">
            <w:pPr>
              <w:spacing w:before="60" w:after="60" w:line="240" w:lineRule="auto"/>
              <w:rPr>
                <w:rFonts w:ascii="Arial" w:eastAsia="Times New Roman" w:hAnsi="Arial" w:cs="Arial"/>
                <w:color w:val="000000"/>
                <w:lang w:eastAsia="en-GB"/>
              </w:rPr>
            </w:pPr>
            <w:r>
              <w:rPr>
                <w:rFonts w:ascii="Arial" w:hAnsi="Arial" w:cs="Arial"/>
              </w:rPr>
              <w:t xml:space="preserve">A risk and control </w:t>
            </w:r>
            <w:r w:rsidRPr="008B0B31">
              <w:rPr>
                <w:rFonts w:ascii="Arial" w:hAnsi="Arial" w:cs="Arial"/>
              </w:rPr>
              <w:t xml:space="preserve">framework </w:t>
            </w:r>
            <w:r>
              <w:rPr>
                <w:rFonts w:ascii="Arial" w:hAnsi="Arial" w:cs="Arial"/>
              </w:rPr>
              <w:t xml:space="preserve">has been </w:t>
            </w:r>
            <w:r w:rsidRPr="008B0B31">
              <w:rPr>
                <w:rFonts w:ascii="Arial" w:hAnsi="Arial" w:cs="Arial"/>
              </w:rPr>
              <w:t>developed and agreed.</w:t>
            </w:r>
            <w:r>
              <w:rPr>
                <w:rFonts w:ascii="Arial" w:hAnsi="Arial" w:cs="Arial"/>
              </w:rPr>
              <w:t xml:space="preserve"> Controls testing is scheduled to start </w:t>
            </w:r>
            <w:r w:rsidRPr="00F80D53">
              <w:rPr>
                <w:rFonts w:ascii="Arial" w:hAnsi="Arial" w:cs="Arial"/>
              </w:rPr>
              <w:t xml:space="preserve">in </w:t>
            </w:r>
            <w:r>
              <w:rPr>
                <w:rFonts w:ascii="Arial" w:hAnsi="Arial" w:cs="Arial"/>
              </w:rPr>
              <w:t>September.</w:t>
            </w:r>
          </w:p>
        </w:tc>
        <w:tc>
          <w:tcPr>
            <w:tcW w:w="1417" w:type="dxa"/>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hideMark/>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Payroll processing</w:t>
            </w:r>
          </w:p>
        </w:tc>
        <w:tc>
          <w:tcPr>
            <w:tcW w:w="3544" w:type="dxa"/>
            <w:tcBorders>
              <w:top w:val="nil"/>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Effectiveness of inputs to the system: the inputs required and how they are processed</w:t>
            </w:r>
          </w:p>
        </w:tc>
        <w:tc>
          <w:tcPr>
            <w:tcW w:w="5812" w:type="dxa"/>
            <w:tcBorders>
              <w:top w:val="nil"/>
            </w:tcBorders>
            <w:shd w:val="clear" w:color="auto" w:fill="auto"/>
            <w:noWrap/>
            <w:hideMark/>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focussed on system inputs.</w:t>
            </w:r>
          </w:p>
        </w:tc>
        <w:tc>
          <w:tcPr>
            <w:tcW w:w="2976" w:type="dxa"/>
            <w:tcBorders>
              <w:top w:val="nil"/>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Controls </w:t>
            </w:r>
            <w:r w:rsidRPr="00534482">
              <w:rPr>
                <w:rFonts w:ascii="Arial" w:eastAsia="Times New Roman" w:hAnsi="Arial" w:cs="Arial"/>
                <w:color w:val="000000"/>
                <w:lang w:eastAsia="en-GB"/>
              </w:rPr>
              <w:t>to mitigate significant risks in a number of individual instances</w:t>
            </w:r>
          </w:p>
        </w:tc>
        <w:tc>
          <w:tcPr>
            <w:tcW w:w="5416" w:type="dxa"/>
            <w:tcBorders>
              <w:top w:val="nil"/>
            </w:tcBorders>
          </w:tcPr>
          <w:p w:rsidR="00983ABB" w:rsidRPr="00D43D0B" w:rsidP="00983ABB">
            <w:pPr>
              <w:spacing w:before="60" w:after="60" w:line="240" w:lineRule="auto"/>
              <w:rPr>
                <w:rFonts w:ascii="Arial" w:eastAsia="Times New Roman" w:hAnsi="Arial" w:cs="Arial"/>
                <w:lang w:eastAsia="en-GB"/>
              </w:rPr>
            </w:pPr>
            <w:r w:rsidRPr="00D43D0B">
              <w:rPr>
                <w:rFonts w:ascii="Arial" w:eastAsia="Times New Roman" w:hAnsi="Arial" w:cs="Arial"/>
                <w:lang w:eastAsia="en-GB"/>
              </w:rPr>
              <w:t>Work is scheduled to start in January 2017.</w:t>
            </w:r>
          </w:p>
        </w:tc>
        <w:tc>
          <w:tcPr>
            <w:tcW w:w="1417" w:type="dxa"/>
            <w:tcBorders>
              <w:top w:val="nil"/>
            </w:tcBorders>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p>
        </w:tc>
        <w:tc>
          <w:tcPr>
            <w:tcW w:w="3544" w:type="dxa"/>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Processing of payments by BTLS, using information supplied by LCC</w:t>
            </w:r>
          </w:p>
        </w:tc>
        <w:tc>
          <w:tcPr>
            <w:tcW w:w="5812" w:type="dxa"/>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w:t>
            </w:r>
          </w:p>
        </w:tc>
        <w:tc>
          <w:tcPr>
            <w:tcW w:w="2976" w:type="dxa"/>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Controls to </w:t>
            </w:r>
            <w:r w:rsidRPr="00534482">
              <w:rPr>
                <w:rFonts w:ascii="Arial" w:eastAsia="Times New Roman" w:hAnsi="Arial" w:cs="Arial"/>
                <w:color w:val="000000"/>
                <w:lang w:eastAsia="en-GB"/>
              </w:rPr>
              <w:t>mitigate significant risks in a number of individual instances</w:t>
            </w:r>
          </w:p>
        </w:tc>
        <w:tc>
          <w:tcPr>
            <w:tcW w:w="5416" w:type="dxa"/>
          </w:tcPr>
          <w:p w:rsidR="00983ABB" w:rsidRPr="00D43D0B" w:rsidP="00983ABB">
            <w:pPr>
              <w:spacing w:before="60" w:after="60" w:line="240" w:lineRule="auto"/>
              <w:rPr>
                <w:rFonts w:ascii="Arial" w:eastAsia="Times New Roman" w:hAnsi="Arial" w:cs="Arial"/>
                <w:lang w:eastAsia="en-GB"/>
              </w:rPr>
            </w:pPr>
            <w:r w:rsidRPr="00D43D0B">
              <w:rPr>
                <w:rFonts w:ascii="Arial" w:eastAsia="Times New Roman" w:hAnsi="Arial" w:cs="Arial"/>
                <w:lang w:eastAsia="en-GB"/>
              </w:rPr>
              <w:t>Work is scheduled to start in January 2017.</w:t>
            </w:r>
          </w:p>
        </w:tc>
        <w:tc>
          <w:tcPr>
            <w:tcW w:w="1417" w:type="dxa"/>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Human resources (and finance)</w:t>
            </w:r>
          </w:p>
        </w:tc>
        <w:tc>
          <w:tcPr>
            <w:tcW w:w="3544" w:type="dxa"/>
            <w:tcBorders>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Amendments to the council's establishment: completeness, accuracy and currency of records </w:t>
            </w:r>
          </w:p>
        </w:tc>
        <w:tc>
          <w:tcPr>
            <w:tcW w:w="5812" w:type="dxa"/>
            <w:tcBorders>
              <w:bottom w:val="sing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hAnsi="Arial" w:cs="Arial"/>
                <w:color w:val="000000"/>
                <w:lang w:eastAsia="en-GB"/>
              </w:rPr>
              <w:t xml:space="preserve">Risk and control </w:t>
            </w:r>
            <w:r w:rsidRPr="00534482">
              <w:rPr>
                <w:rFonts w:ascii="Arial" w:hAnsi="Arial" w:cs="Arial"/>
                <w:color w:val="000000"/>
                <w:lang w:eastAsia="en-GB"/>
              </w:rPr>
              <w:t>evaluation to ensure that the staff establishment, hierarchies and budgets are aligned, with full compliance testing</w:t>
            </w:r>
            <w:r w:rsidRPr="00534482">
              <w:rPr>
                <w:rFonts w:ascii="Arial" w:eastAsia="Times New Roman" w:hAnsi="Arial" w:cs="Arial"/>
                <w:color w:val="000000"/>
                <w:lang w:eastAsia="en-GB"/>
              </w:rPr>
              <w:t>.</w:t>
            </w:r>
          </w:p>
        </w:tc>
        <w:tc>
          <w:tcPr>
            <w:tcW w:w="2976" w:type="dxa"/>
            <w:tcBorders>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983ABB" w:rsidRPr="00D43D0B" w:rsidP="00983ABB">
            <w:pPr>
              <w:spacing w:before="60" w:after="60" w:line="240" w:lineRule="auto"/>
              <w:rPr>
                <w:rFonts w:ascii="Arial" w:eastAsia="Times New Roman" w:hAnsi="Arial" w:cs="Arial"/>
                <w:lang w:eastAsia="en-GB"/>
              </w:rPr>
            </w:pPr>
            <w:r w:rsidRPr="00D43D0B">
              <w:rPr>
                <w:rFonts w:ascii="Arial" w:eastAsia="Times New Roman" w:hAnsi="Arial" w:cs="Arial"/>
                <w:lang w:eastAsia="en-GB"/>
              </w:rPr>
              <w:t>Work is scheduled to start in January 2017.</w:t>
            </w:r>
          </w:p>
        </w:tc>
        <w:tc>
          <w:tcPr>
            <w:tcW w:w="1417" w:type="dxa"/>
            <w:tcBorders>
              <w:bottom w:val="sing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r w:rsidTr="009A406B">
        <w:tblPrEx>
          <w:tblW w:w="21292" w:type="dxa"/>
          <w:tblInd w:w="-176" w:type="dxa"/>
          <w:tblLayout w:type="fixed"/>
          <w:tblLook w:val="04A0"/>
        </w:tblPrEx>
        <w:trPr>
          <w:trHeight w:val="1129"/>
        </w:trPr>
        <w:tc>
          <w:tcPr>
            <w:tcW w:w="2127" w:type="dxa"/>
            <w:tcBorders>
              <w:top w:val="nil"/>
              <w:left w:val="single" w:sz="4" w:space="0" w:color="auto"/>
              <w:right w:val="sing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ICT</w:t>
            </w:r>
          </w:p>
        </w:tc>
        <w:tc>
          <w:tcPr>
            <w:tcW w:w="3544" w:type="dxa"/>
            <w:tcBorders>
              <w:top w:val="nil"/>
              <w:left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Possible work may include g</w:t>
            </w:r>
            <w:r w:rsidRPr="00534482">
              <w:rPr>
                <w:rFonts w:ascii="Arial" w:eastAsia="Times New Roman" w:hAnsi="Arial" w:cs="Arial"/>
                <w:color w:val="000000"/>
                <w:lang w:eastAsia="en-GB"/>
              </w:rPr>
              <w:t>eneral IT controls</w:t>
            </w:r>
            <w:r>
              <w:rPr>
                <w:rFonts w:ascii="Arial" w:eastAsia="Times New Roman" w:hAnsi="Arial" w:cs="Arial"/>
                <w:color w:val="000000"/>
                <w:lang w:eastAsia="en-GB"/>
              </w:rPr>
              <w:t xml:space="preserve">, </w:t>
            </w:r>
            <w:r w:rsidRPr="00534482">
              <w:rPr>
                <w:rFonts w:ascii="Arial" w:eastAsia="Times New Roman" w:hAnsi="Arial" w:cs="Arial"/>
                <w:color w:val="000000"/>
                <w:lang w:eastAsia="en-GB"/>
              </w:rPr>
              <w:t>IT security and continuity planning</w:t>
            </w:r>
            <w:r>
              <w:rPr>
                <w:rFonts w:ascii="Arial" w:eastAsia="Times New Roman" w:hAnsi="Arial" w:cs="Arial"/>
                <w:color w:val="000000"/>
                <w:lang w:eastAsia="en-GB"/>
              </w:rPr>
              <w:t>, and a</w:t>
            </w:r>
            <w:r w:rsidRPr="00534482">
              <w:rPr>
                <w:rFonts w:ascii="Arial" w:eastAsia="Times New Roman" w:hAnsi="Arial" w:cs="Arial"/>
                <w:color w:val="000000"/>
                <w:lang w:eastAsia="en-GB"/>
              </w:rPr>
              <w:t>pplication controls including the new identity management system</w:t>
            </w:r>
          </w:p>
        </w:tc>
        <w:tc>
          <w:tcPr>
            <w:tcW w:w="5812" w:type="dxa"/>
            <w:tcBorders>
              <w:top w:val="nil"/>
              <w:left w:val="single" w:sz="4" w:space="0" w:color="auto"/>
              <w:right w:val="sing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External advice is required, </w:t>
            </w:r>
            <w:r>
              <w:rPr>
                <w:rFonts w:ascii="Arial" w:eastAsia="Times New Roman" w:hAnsi="Arial" w:cs="Arial"/>
                <w:color w:val="000000"/>
                <w:lang w:eastAsia="en-GB"/>
              </w:rPr>
              <w:t>including</w:t>
            </w:r>
            <w:r w:rsidRPr="00534482">
              <w:rPr>
                <w:rFonts w:ascii="Arial" w:eastAsia="Times New Roman" w:hAnsi="Arial" w:cs="Arial"/>
                <w:color w:val="000000"/>
                <w:lang w:eastAsia="en-GB"/>
              </w:rPr>
              <w:t xml:space="preserve"> discussions with BTLS, to properly assess the ICT audit work that is appropriate and achievable.</w:t>
            </w:r>
          </w:p>
        </w:tc>
        <w:tc>
          <w:tcPr>
            <w:tcW w:w="2976" w:type="dxa"/>
            <w:tcBorders>
              <w:top w:val="nil"/>
              <w:left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Controls to </w:t>
            </w:r>
            <w:r w:rsidRPr="00534482">
              <w:rPr>
                <w:rFonts w:ascii="Arial" w:eastAsia="Times New Roman" w:hAnsi="Arial" w:cs="Arial"/>
                <w:color w:val="000000"/>
                <w:lang w:eastAsia="en-GB"/>
              </w:rPr>
              <w:t>mitigate significant risks</w:t>
            </w:r>
          </w:p>
        </w:tc>
        <w:tc>
          <w:tcPr>
            <w:tcW w:w="5416" w:type="dxa"/>
            <w:tcBorders>
              <w:top w:val="nil"/>
              <w:left w:val="single" w:sz="4" w:space="0" w:color="auto"/>
              <w:right w:val="single" w:sz="4" w:space="0" w:color="auto"/>
            </w:tcBorders>
          </w:tcPr>
          <w:p w:rsidR="00983ABB" w:rsidRPr="00534482" w:rsidP="00D97BA1">
            <w:pPr>
              <w:spacing w:before="60" w:after="60" w:line="240" w:lineRule="auto"/>
              <w:rPr>
                <w:rFonts w:ascii="Arial" w:eastAsia="Times New Roman" w:hAnsi="Arial" w:cs="Arial"/>
                <w:color w:val="000000"/>
                <w:lang w:eastAsia="en-GB"/>
              </w:rPr>
            </w:pPr>
            <w:r>
              <w:rPr>
                <w:rFonts w:ascii="Arial" w:eastAsia="Times New Roman" w:hAnsi="Arial" w:cs="Arial"/>
                <w:lang w:eastAsia="en-GB"/>
              </w:rPr>
              <w:t>P</w:t>
            </w:r>
            <w:r w:rsidRPr="00D97BA1">
              <w:rPr>
                <w:rFonts w:ascii="Arial" w:eastAsia="Times New Roman" w:hAnsi="Arial" w:cs="Arial"/>
                <w:lang w:eastAsia="en-GB"/>
              </w:rPr>
              <w:t>rocure</w:t>
            </w:r>
            <w:r>
              <w:rPr>
                <w:rFonts w:ascii="Arial" w:eastAsia="Times New Roman" w:hAnsi="Arial" w:cs="Arial"/>
                <w:lang w:eastAsia="en-GB"/>
              </w:rPr>
              <w:t>ment of</w:t>
            </w:r>
            <w:r w:rsidRPr="00D97BA1">
              <w:rPr>
                <w:rFonts w:ascii="Arial" w:eastAsia="Times New Roman" w:hAnsi="Arial" w:cs="Arial"/>
                <w:lang w:eastAsia="en-GB"/>
              </w:rPr>
              <w:t xml:space="preserve"> specialist ICT audit services</w:t>
            </w:r>
            <w:r>
              <w:rPr>
                <w:rFonts w:ascii="Arial" w:eastAsia="Times New Roman" w:hAnsi="Arial" w:cs="Arial"/>
                <w:lang w:eastAsia="en-GB"/>
              </w:rPr>
              <w:t xml:space="preserve"> will begin shortly.</w:t>
            </w:r>
          </w:p>
        </w:tc>
        <w:tc>
          <w:tcPr>
            <w:tcW w:w="1417" w:type="dxa"/>
            <w:tcBorders>
              <w:top w:val="nil"/>
              <w:left w:val="single" w:sz="4" w:space="0" w:color="auto"/>
              <w:right w:val="sing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single" w:sz="4" w:space="0" w:color="auto"/>
              <w:bottom w:val="doub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All</w:t>
            </w:r>
          </w:p>
        </w:tc>
        <w:tc>
          <w:tcPr>
            <w:tcW w:w="3544" w:type="dxa"/>
            <w:tcBorders>
              <w:top w:val="sing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Completion of agreed action plans</w:t>
            </w:r>
          </w:p>
        </w:tc>
        <w:tc>
          <w:tcPr>
            <w:tcW w:w="5812" w:type="dxa"/>
            <w:tcBorders>
              <w:top w:val="single" w:sz="4" w:space="0" w:color="auto"/>
              <w:bottom w:val="doub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Follow-up of work initiated during 2016/17. Action </w:t>
            </w:r>
            <w:r w:rsidRPr="00534482">
              <w:rPr>
                <w:rFonts w:ascii="Arial" w:eastAsia="Times New Roman" w:hAnsi="Arial" w:cs="Arial"/>
                <w:color w:val="000000"/>
                <w:lang w:eastAsia="en-GB"/>
              </w:rPr>
              <w:t>plans agreed in respect of earlier audit periods will not be pursued.</w:t>
            </w:r>
          </w:p>
        </w:tc>
        <w:tc>
          <w:tcPr>
            <w:tcW w:w="2976" w:type="dxa"/>
            <w:tcBorders>
              <w:top w:val="sing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Follow-up as required by professional standards</w:t>
            </w:r>
          </w:p>
        </w:tc>
        <w:tc>
          <w:tcPr>
            <w:tcW w:w="5416" w:type="dxa"/>
            <w:tcBorders>
              <w:top w:val="sing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As we undertake follow-up work it will be incorporated into the areas of work listed above.</w:t>
            </w:r>
          </w:p>
        </w:tc>
        <w:tc>
          <w:tcPr>
            <w:tcW w:w="1417" w:type="dxa"/>
            <w:tcBorders>
              <w:top w:val="sing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double" w:sz="4" w:space="0" w:color="auto"/>
              <w:bottom w:val="double" w:sz="4" w:space="0" w:color="auto"/>
            </w:tcBorders>
            <w:shd w:val="clear" w:color="auto" w:fill="auto"/>
            <w:noWrap/>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Various funding streams</w:t>
            </w:r>
          </w:p>
        </w:tc>
        <w:tc>
          <w:tcPr>
            <w:tcW w:w="3544" w:type="dxa"/>
            <w:tcBorders>
              <w:top w:val="doub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Various: </w:t>
            </w:r>
            <w:r w:rsidRPr="00534482">
              <w:rPr>
                <w:rFonts w:ascii="Arial" w:eastAsia="Times New Roman" w:hAnsi="Arial" w:cs="Arial"/>
                <w:color w:val="000000"/>
                <w:lang w:eastAsia="en-GB"/>
              </w:rPr>
              <w:t>predominantly relating to funding for the former Environment Directorate, plus the Working Together with Families Programme</w:t>
            </w:r>
          </w:p>
        </w:tc>
        <w:tc>
          <w:tcPr>
            <w:tcW w:w="5812" w:type="dxa"/>
            <w:tcBorders>
              <w:top w:val="double" w:sz="4" w:space="0" w:color="auto"/>
              <w:bottom w:val="double" w:sz="4" w:space="0" w:color="auto"/>
            </w:tcBorders>
            <w:shd w:val="clear" w:color="auto" w:fill="auto"/>
            <w:noWrap/>
          </w:tcPr>
          <w:p w:rsidR="00983ABB" w:rsidRPr="00534482" w:rsidP="00983ABB">
            <w:pPr>
              <w:spacing w:before="60" w:after="60" w:line="240" w:lineRule="auto"/>
              <w:rPr>
                <w:rFonts w:ascii="Arial" w:hAnsi="Arial" w:cs="Arial"/>
              </w:rPr>
            </w:pPr>
            <w:r w:rsidRPr="00534482">
              <w:rPr>
                <w:rFonts w:ascii="Arial" w:eastAsia="Times New Roman" w:hAnsi="Arial" w:cs="Arial"/>
                <w:color w:val="000000"/>
                <w:lang w:eastAsia="en-GB"/>
              </w:rPr>
              <w:t>Work must be undertaken to meet EU and central government departments' grant funding requirements where funding is given on conditio</w:t>
            </w:r>
            <w:r w:rsidRPr="00534482">
              <w:rPr>
                <w:rFonts w:ascii="Arial" w:eastAsia="Times New Roman" w:hAnsi="Arial" w:cs="Arial"/>
                <w:color w:val="000000"/>
                <w:lang w:eastAsia="en-GB"/>
              </w:rPr>
              <w:t>n that the Internal Audit Service provides assurance to these bodies that their funding has been spent as intended.</w:t>
            </w:r>
          </w:p>
        </w:tc>
        <w:tc>
          <w:tcPr>
            <w:tcW w:w="2976" w:type="dxa"/>
            <w:tcBorders>
              <w:top w:val="doub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Borders>
              <w:top w:val="doub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to certify that the council has met the conditions associated with any grant programme will be</w:t>
            </w:r>
            <w:r>
              <w:rPr>
                <w:rFonts w:ascii="Arial" w:eastAsia="Times New Roman" w:hAnsi="Arial" w:cs="Arial"/>
                <w:color w:val="000000"/>
                <w:lang w:eastAsia="en-GB"/>
              </w:rPr>
              <w:t xml:space="preserve"> listed above in future progress reports. At this point, we are aware only of claims associated with the </w:t>
            </w:r>
            <w:r w:rsidRPr="00534482">
              <w:rPr>
                <w:rFonts w:ascii="Arial" w:eastAsia="Times New Roman" w:hAnsi="Arial" w:cs="Arial"/>
                <w:color w:val="000000"/>
                <w:lang w:eastAsia="en-GB"/>
              </w:rPr>
              <w:t>Working Together with Families Programme</w:t>
            </w:r>
            <w:r>
              <w:rPr>
                <w:rFonts w:ascii="Arial" w:eastAsia="Times New Roman" w:hAnsi="Arial" w:cs="Arial"/>
                <w:color w:val="000000"/>
                <w:lang w:eastAsia="en-GB"/>
              </w:rPr>
              <w:t xml:space="preserve">, and a claim under the Local Growth Fund. </w:t>
            </w:r>
          </w:p>
        </w:tc>
        <w:tc>
          <w:tcPr>
            <w:tcW w:w="1417" w:type="dxa"/>
            <w:tcBorders>
              <w:top w:val="double" w:sz="4" w:space="0" w:color="auto"/>
              <w:bottom w:val="double" w:sz="4" w:space="0" w:color="auto"/>
            </w:tcBorders>
          </w:tcPr>
          <w:p w:rsidR="00983ABB" w:rsidRPr="00534482" w:rsidP="00983ABB">
            <w:pPr>
              <w:spacing w:before="60" w:after="60" w:line="240" w:lineRule="auto"/>
              <w:rPr>
                <w:rFonts w:ascii="Arial" w:eastAsia="Times New Roman" w:hAnsi="Arial" w:cs="Arial"/>
                <w:color w:val="000000"/>
                <w:lang w:eastAsia="en-GB"/>
              </w:rPr>
            </w:pPr>
          </w:p>
        </w:tc>
      </w:tr>
    </w:tbl>
    <w:p w:rsidR="00534482" w:rsidRPr="00534482" w:rsidP="00534482">
      <w:pPr>
        <w:spacing w:before="60" w:after="60" w:line="240" w:lineRule="auto"/>
        <w:rPr>
          <w:rFonts w:ascii="Arial" w:hAnsi="Arial" w:cs="Arial"/>
        </w:rPr>
      </w:pPr>
    </w:p>
    <w:sectPr w:rsidSect="0066076F">
      <w:headerReference w:type="default" r:id="rId4"/>
      <w:footerReference w:type="default" r:id="rId5"/>
      <w:headerReference w:type="first" r:id="rId6"/>
      <w:footerReference w:type="first" r:id="rId7"/>
      <w:pgSz w:w="23814" w:h="16839" w:orient="landscape" w:code="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7978264"/>
      <w:docPartObj>
        <w:docPartGallery w:val="Page Numbers (Bottom of Page)"/>
        <w:docPartUnique/>
      </w:docPartObj>
    </w:sdtPr>
    <w:sdtEndPr>
      <w:rPr>
        <w:rFonts w:ascii="Arial" w:hAnsi="Arial" w:cs="Arial"/>
        <w:noProof/>
        <w:sz w:val="24"/>
        <w:szCs w:val="24"/>
      </w:rPr>
    </w:sdtEndPr>
    <w:sdtContent>
      <w:p w:rsidR="0066076F" w:rsidRPr="0066076F" w:rsidP="0066076F">
        <w:pPr>
          <w:pStyle w:val="Footer"/>
          <w:jc w:val="right"/>
          <w:rPr>
            <w:rFonts w:ascii="Arial" w:hAnsi="Arial" w:cs="Arial"/>
            <w:sz w:val="24"/>
            <w:szCs w:val="24"/>
          </w:rPr>
        </w:pPr>
        <w:r w:rsidRPr="0066076F">
          <w:rPr>
            <w:rFonts w:ascii="Arial" w:hAnsi="Arial" w:cs="Arial"/>
            <w:sz w:val="24"/>
            <w:szCs w:val="24"/>
          </w:rPr>
          <w:fldChar w:fldCharType="begin"/>
        </w:r>
        <w:r w:rsidRPr="0066076F">
          <w:rPr>
            <w:rFonts w:ascii="Arial" w:hAnsi="Arial" w:cs="Arial"/>
            <w:sz w:val="24"/>
            <w:szCs w:val="24"/>
          </w:rPr>
          <w:instrText xml:space="preserve"> PAGE   \* MERGEFORMAT </w:instrText>
        </w:r>
        <w:r w:rsidRPr="0066076F">
          <w:rPr>
            <w:rFonts w:ascii="Arial" w:hAnsi="Arial" w:cs="Arial"/>
            <w:sz w:val="24"/>
            <w:szCs w:val="24"/>
          </w:rPr>
          <w:fldChar w:fldCharType="separate"/>
        </w:r>
        <w:r>
          <w:rPr>
            <w:rFonts w:ascii="Arial" w:hAnsi="Arial" w:cs="Arial"/>
            <w:noProof/>
            <w:sz w:val="24"/>
            <w:szCs w:val="24"/>
          </w:rPr>
          <w:t>5</w:t>
        </w:r>
        <w:r w:rsidRPr="0066076F">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4"/>
        <w:szCs w:val="24"/>
      </w:rPr>
      <w:id w:val="145942718"/>
      <w:docPartObj>
        <w:docPartGallery w:val="Page Numbers (Bottom of Page)"/>
        <w:docPartUnique/>
      </w:docPartObj>
    </w:sdtPr>
    <w:sdtEndPr>
      <w:rPr>
        <w:noProof/>
      </w:rPr>
    </w:sdtEndPr>
    <w:sdtContent>
      <w:p w:rsidR="0066076F" w:rsidRPr="004B08EA" w:rsidP="0066076F">
        <w:pPr>
          <w:pStyle w:val="Footer"/>
          <w:jc w:val="right"/>
          <w:rPr>
            <w:rFonts w:ascii="Arial" w:hAnsi="Arial" w:cs="Arial"/>
            <w:sz w:val="24"/>
            <w:szCs w:val="24"/>
          </w:rPr>
        </w:pPr>
        <w:r w:rsidRPr="004B08EA">
          <w:rPr>
            <w:rFonts w:ascii="Arial" w:hAnsi="Arial" w:cs="Arial"/>
            <w:sz w:val="24"/>
            <w:szCs w:val="24"/>
          </w:rPr>
          <w:t xml:space="preserve">Appendix B: </w:t>
        </w:r>
        <w:r w:rsidRPr="004B08EA">
          <w:rPr>
            <w:rFonts w:ascii="Arial" w:hAnsi="Arial" w:cs="Arial"/>
            <w:sz w:val="24"/>
            <w:szCs w:val="24"/>
          </w:rPr>
          <w:fldChar w:fldCharType="begin"/>
        </w:r>
        <w:r w:rsidRPr="004B08EA">
          <w:rPr>
            <w:rFonts w:ascii="Arial" w:hAnsi="Arial" w:cs="Arial"/>
            <w:sz w:val="24"/>
            <w:szCs w:val="24"/>
          </w:rPr>
          <w:instrText xml:space="preserve"> PAGE   \* MERGEFORMAT </w:instrText>
        </w:r>
        <w:r w:rsidRPr="004B08EA">
          <w:rPr>
            <w:rFonts w:ascii="Arial" w:hAnsi="Arial" w:cs="Arial"/>
            <w:sz w:val="24"/>
            <w:szCs w:val="24"/>
          </w:rPr>
          <w:fldChar w:fldCharType="separate"/>
        </w:r>
        <w:r>
          <w:rPr>
            <w:rFonts w:ascii="Arial" w:hAnsi="Arial" w:cs="Arial"/>
            <w:noProof/>
            <w:sz w:val="24"/>
            <w:szCs w:val="24"/>
          </w:rPr>
          <w:t>1</w:t>
        </w:r>
        <w:r w:rsidRPr="004B08EA">
          <w:rPr>
            <w:rFonts w:ascii="Arial" w:hAnsi="Arial" w:cs="Arial"/>
            <w:noProof/>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76F" w:rsidRPr="0066076F">
    <w:pPr>
      <w:pStyle w:val="Header"/>
      <w:rPr>
        <w:rFonts w:ascii="Arial" w:hAnsi="Arial" w:cs="Arial"/>
        <w:b/>
      </w:rPr>
    </w:pPr>
    <w:r w:rsidRPr="0066076F">
      <w:rPr>
        <w:rFonts w:ascii="Arial" w:hAnsi="Arial" w:cs="Arial"/>
        <w:b/>
      </w:rPr>
      <w:t>Lancashire County Council internal audit plan 2016/17: progress as at 9 September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76F" w:rsidRPr="0066076F" w:rsidP="00C176CB">
    <w:pPr>
      <w:pStyle w:val="Header"/>
      <w:tabs>
        <w:tab w:val="right" w:pos="20838"/>
      </w:tabs>
      <w:rPr>
        <w:rFonts w:ascii="Arial" w:hAnsi="Arial" w:cs="Arial"/>
        <w:b/>
        <w:sz w:val="28"/>
        <w:szCs w:val="28"/>
      </w:rPr>
    </w:pPr>
    <w:r w:rsidRPr="0066076F">
      <w:rPr>
        <w:rFonts w:ascii="Arial" w:hAnsi="Arial" w:cs="Arial"/>
        <w:b/>
        <w:sz w:val="28"/>
        <w:szCs w:val="28"/>
      </w:rPr>
      <w:t>Lancashire County Council internal audit plan 201</w:t>
    </w:r>
    <w:r>
      <w:rPr>
        <w:rFonts w:ascii="Arial" w:hAnsi="Arial" w:cs="Arial"/>
        <w:b/>
        <w:sz w:val="28"/>
        <w:szCs w:val="28"/>
      </w:rPr>
      <w:t>6/17</w:t>
    </w:r>
    <w:r w:rsidRPr="0066076F">
      <w:rPr>
        <w:rFonts w:ascii="Arial" w:hAnsi="Arial" w:cs="Arial"/>
        <w:b/>
        <w:sz w:val="28"/>
        <w:szCs w:val="28"/>
      </w:rPr>
      <w:t xml:space="preserve">: progress as at </w:t>
    </w:r>
    <w:r>
      <w:rPr>
        <w:rFonts w:ascii="Arial" w:hAnsi="Arial" w:cs="Arial"/>
        <w:b/>
        <w:sz w:val="28"/>
        <w:szCs w:val="28"/>
      </w:rPr>
      <w:t xml:space="preserve">9 September </w:t>
    </w:r>
    <w:r w:rsidRPr="0066076F">
      <w:rPr>
        <w:rFonts w:ascii="Arial" w:hAnsi="Arial" w:cs="Arial"/>
        <w:b/>
        <w:sz w:val="28"/>
        <w:szCs w:val="28"/>
      </w:rPr>
      <w:t>201</w:t>
    </w:r>
    <w:r>
      <w:rPr>
        <w:rFonts w:ascii="Arial" w:hAnsi="Arial" w:cs="Arial"/>
        <w:b/>
        <w:sz w:val="28"/>
        <w:szCs w:val="28"/>
      </w:rPr>
      <w:t>6</w:t>
    </w:r>
    <w:r>
      <w:rPr>
        <w:rFonts w:ascii="Arial" w:hAnsi="Arial" w:cs="Arial"/>
        <w:b/>
        <w:sz w:val="28"/>
        <w:szCs w:val="28"/>
      </w:rPr>
      <w:tab/>
      <w:t>Appendix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076F"/>
    <w:pPr>
      <w:tabs>
        <w:tab w:val="center" w:pos="4513"/>
        <w:tab w:val="right" w:pos="9026"/>
      </w:tabs>
      <w:spacing w:after="0" w:line="240" w:lineRule="auto"/>
    </w:pPr>
  </w:style>
  <w:style w:type="character" w:customStyle="1" w:styleId="HeaderChar">
    <w:name w:val="Header Char"/>
    <w:basedOn w:val="DefaultParagraphFont"/>
    <w:link w:val="Header"/>
    <w:rsid w:val="0066076F"/>
  </w:style>
  <w:style w:type="paragraph" w:styleId="Footer">
    <w:name w:val="footer"/>
    <w:basedOn w:val="Normal"/>
    <w:link w:val="FooterChar"/>
    <w:uiPriority w:val="99"/>
    <w:unhideWhenUsed/>
    <w:rsid w:val="0066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F"/>
  </w:style>
  <w:style w:type="paragraph" w:styleId="BalloonText">
    <w:name w:val="Balloon Text"/>
    <w:basedOn w:val="Normal"/>
    <w:link w:val="BalloonTextChar"/>
    <w:uiPriority w:val="99"/>
    <w:semiHidden/>
    <w:unhideWhenUsed/>
    <w:rsid w:val="00D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5</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70</cp:revision>
  <dcterms:created xsi:type="dcterms:W3CDTF">2016-08-01T09:32:00Z</dcterms:created>
  <dcterms:modified xsi:type="dcterms:W3CDTF">2016-09-12T08:37:00Z</dcterms:modified>
</cp:coreProperties>
</file>